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07A7B3">
      <w:pPr>
        <w:spacing w:line="500" w:lineRule="exact"/>
        <w:jc w:val="center"/>
        <w:rPr>
          <w:rFonts w:ascii="方正小标宋_GBK" w:hAnsi="等线" w:eastAsia="方正小标宋_GBK" w:cs="Times New Roman"/>
          <w:sz w:val="36"/>
          <w:szCs w:val="36"/>
        </w:rPr>
      </w:pPr>
      <w:r>
        <w:rPr>
          <w:rFonts w:hint="eastAsia" w:ascii="方正小标宋_GBK" w:hAnsi="等线" w:eastAsia="方正小标宋_GBK" w:cs="Times New Roman"/>
          <w:sz w:val="32"/>
          <w:szCs w:val="32"/>
        </w:rPr>
        <w:t>202</w:t>
      </w:r>
      <w:r>
        <w:rPr>
          <w:rFonts w:ascii="方正小标宋_GBK" w:hAnsi="等线" w:eastAsia="方正小标宋_GBK" w:cs="Times New Roman"/>
          <w:sz w:val="32"/>
          <w:szCs w:val="32"/>
        </w:rPr>
        <w:t>6</w:t>
      </w:r>
      <w:r>
        <w:rPr>
          <w:rFonts w:hint="eastAsia" w:ascii="方正小标宋_GBK" w:hAnsi="等线" w:eastAsia="方正小标宋_GBK" w:cs="Times New Roman"/>
          <w:sz w:val="32"/>
          <w:szCs w:val="32"/>
        </w:rPr>
        <w:t>-20</w:t>
      </w:r>
      <w:r>
        <w:rPr>
          <w:rFonts w:ascii="方正小标宋_GBK" w:hAnsi="等线" w:eastAsia="方正小标宋_GBK" w:cs="Times New Roman"/>
          <w:sz w:val="32"/>
          <w:szCs w:val="32"/>
        </w:rPr>
        <w:t>27</w:t>
      </w:r>
      <w:r>
        <w:rPr>
          <w:rFonts w:hint="eastAsia" w:ascii="方正小标宋_GBK" w:hAnsi="等线" w:eastAsia="方正小标宋_GBK" w:cs="Times New Roman"/>
          <w:sz w:val="32"/>
          <w:szCs w:val="32"/>
        </w:rPr>
        <w:t>年度苏州大学食堂伙食物资供应商评分标准</w:t>
      </w:r>
    </w:p>
    <w:p w14:paraId="0FB94164">
      <w:pPr>
        <w:spacing w:line="500" w:lineRule="exact"/>
        <w:jc w:val="center"/>
        <w:rPr>
          <w:rFonts w:ascii="黑体" w:hAnsi="黑体" w:eastAsia="黑体" w:cs="Times New Roman"/>
          <w:sz w:val="28"/>
          <w:szCs w:val="28"/>
        </w:rPr>
      </w:pPr>
      <w:r>
        <w:rPr>
          <w:rFonts w:hint="eastAsia" w:ascii="黑体" w:hAnsi="黑体" w:eastAsia="黑体" w:cs="Times New Roman"/>
          <w:sz w:val="28"/>
          <w:szCs w:val="28"/>
        </w:rPr>
        <w:t>（适用于标段1：大米、面粉、食用油）</w:t>
      </w:r>
    </w:p>
    <w:p w14:paraId="510E581E">
      <w:pPr>
        <w:spacing w:line="500" w:lineRule="exact"/>
        <w:ind w:firstLine="560" w:firstLineChars="200"/>
        <w:rPr>
          <w:rFonts w:ascii="仿宋" w:hAnsi="仿宋" w:eastAsia="仿宋" w:cs="仿宋"/>
          <w:b/>
          <w:bCs/>
          <w:sz w:val="28"/>
          <w:szCs w:val="28"/>
        </w:rPr>
      </w:pPr>
      <w:r>
        <w:rPr>
          <w:rFonts w:hint="eastAsia" w:ascii="仿宋" w:hAnsi="仿宋" w:eastAsia="仿宋" w:cs="仿宋"/>
          <w:bCs/>
          <w:color w:val="000000"/>
          <w:kern w:val="0"/>
          <w:sz w:val="28"/>
          <w:szCs w:val="28"/>
        </w:rPr>
        <w:t>本次招标采用综合评分法，总分为100分，具体内容如下：</w:t>
      </w:r>
    </w:p>
    <w:p w14:paraId="2E5758FB">
      <w:pPr>
        <w:spacing w:line="500" w:lineRule="exact"/>
        <w:ind w:firstLine="560" w:firstLineChars="200"/>
        <w:rPr>
          <w:rFonts w:ascii="仿宋" w:hAnsi="仿宋" w:eastAsia="仿宋" w:cs="仿宋"/>
          <w:sz w:val="28"/>
          <w:szCs w:val="28"/>
        </w:rPr>
      </w:pPr>
      <w:r>
        <w:rPr>
          <w:rFonts w:hint="eastAsia" w:ascii="仿宋" w:hAnsi="仿宋" w:eastAsia="仿宋" w:cs="仿宋"/>
          <w:bCs/>
          <w:sz w:val="28"/>
          <w:szCs w:val="28"/>
        </w:rPr>
        <w:t>（一）</w:t>
      </w:r>
      <w:r>
        <w:rPr>
          <w:rFonts w:hint="eastAsia" w:ascii="仿宋" w:hAnsi="仿宋" w:eastAsia="仿宋" w:cs="仿宋"/>
          <w:sz w:val="28"/>
          <w:szCs w:val="28"/>
        </w:rPr>
        <w:t>价格分 （35分）</w:t>
      </w:r>
    </w:p>
    <w:p w14:paraId="67FD661B">
      <w:pPr>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1.价格分采用低价优先法计算，即在所有投标单位标的物清单各项明细报价中选择</w:t>
      </w:r>
      <w:r>
        <w:rPr>
          <w:rFonts w:hint="eastAsia" w:ascii="仿宋" w:hAnsi="仿宋" w:eastAsia="仿宋" w:cs="仿宋"/>
          <w:b/>
          <w:bCs/>
          <w:sz w:val="28"/>
          <w:szCs w:val="28"/>
        </w:rPr>
        <w:t>最低的报价</w:t>
      </w:r>
      <w:r>
        <w:rPr>
          <w:rFonts w:hint="eastAsia" w:ascii="仿宋" w:hAnsi="仿宋" w:eastAsia="仿宋" w:cs="仿宋"/>
          <w:sz w:val="28"/>
          <w:szCs w:val="28"/>
        </w:rPr>
        <w:t>确定为该项明细报价的基准报价。</w:t>
      </w:r>
    </w:p>
    <w:p w14:paraId="7F42FA3D">
      <w:pPr>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2.将该项明细项所有合格投标人报价与该明细项的基准报价相比较：等于基准报价的该项明细得满分，其他投标人的该项明细价格分按照下列公式计算（计算结果四舍五入保留两位小数）：</w:t>
      </w:r>
      <w:r>
        <w:rPr>
          <w:rFonts w:hint="eastAsia" w:ascii="仿宋" w:hAnsi="仿宋" w:eastAsia="仿宋" w:cs="仿宋"/>
          <w:b/>
          <w:bCs/>
          <w:sz w:val="28"/>
          <w:szCs w:val="28"/>
        </w:rPr>
        <w:t>明细项投标报价得分=(明细项基准报价/明细项投标报价)*35%*100</w:t>
      </w:r>
    </w:p>
    <w:p w14:paraId="4786ED99">
      <w:pPr>
        <w:spacing w:line="500" w:lineRule="exact"/>
        <w:ind w:firstLine="562" w:firstLineChars="200"/>
        <w:rPr>
          <w:rFonts w:ascii="仿宋" w:hAnsi="仿宋" w:eastAsia="仿宋" w:cs="仿宋"/>
          <w:sz w:val="28"/>
          <w:szCs w:val="28"/>
        </w:rPr>
      </w:pPr>
      <w:r>
        <w:rPr>
          <w:rFonts w:hint="eastAsia" w:ascii="仿宋" w:hAnsi="仿宋" w:eastAsia="仿宋" w:cs="仿宋"/>
          <w:b/>
          <w:bCs/>
          <w:sz w:val="28"/>
          <w:szCs w:val="28"/>
        </w:rPr>
        <w:t>3.各投标人投标报价得分＝各明细项投标报价得分汇总/明细项目总个数</w:t>
      </w:r>
    </w:p>
    <w:p w14:paraId="1E55CEBE">
      <w:pPr>
        <w:snapToGrid w:val="0"/>
        <w:spacing w:line="500" w:lineRule="exact"/>
        <w:ind w:firstLine="562" w:firstLineChars="200"/>
        <w:rPr>
          <w:rFonts w:ascii="仿宋" w:hAnsi="仿宋" w:eastAsia="仿宋" w:cs="仿宋"/>
          <w:b/>
          <w:bCs/>
          <w:color w:val="FF0000"/>
          <w:kern w:val="0"/>
          <w:sz w:val="28"/>
          <w:szCs w:val="28"/>
        </w:rPr>
      </w:pPr>
      <w:r>
        <w:rPr>
          <w:rFonts w:hint="eastAsia" w:ascii="仿宋" w:hAnsi="仿宋" w:eastAsia="仿宋" w:cs="仿宋"/>
          <w:b/>
          <w:bCs/>
          <w:color w:val="FF0000"/>
          <w:kern w:val="0"/>
          <w:sz w:val="28"/>
          <w:szCs w:val="28"/>
        </w:rPr>
        <w:t>（1）开标后五分钟内，须将投标报价表（Excel格式），通过电子邮件发送至xnchen@suda.edu.cn。</w:t>
      </w:r>
    </w:p>
    <w:p w14:paraId="5CE8FF6D">
      <w:pPr>
        <w:spacing w:line="500" w:lineRule="exact"/>
        <w:ind w:firstLine="562" w:firstLineChars="200"/>
        <w:rPr>
          <w:rFonts w:ascii="仿宋" w:hAnsi="仿宋" w:eastAsia="仿宋" w:cs="仿宋"/>
          <w:b/>
          <w:bCs/>
          <w:color w:val="FF0000"/>
          <w:kern w:val="0"/>
          <w:sz w:val="28"/>
          <w:szCs w:val="28"/>
        </w:rPr>
      </w:pPr>
      <w:r>
        <w:rPr>
          <w:rFonts w:hint="eastAsia" w:ascii="仿宋" w:hAnsi="仿宋" w:eastAsia="仿宋" w:cs="仿宋"/>
          <w:b/>
          <w:bCs/>
          <w:color w:val="FF0000"/>
          <w:kern w:val="0"/>
          <w:sz w:val="28"/>
          <w:szCs w:val="28"/>
        </w:rPr>
        <w:t>（2）投标报价表不得作任何变更，出现以下情形之一的，均按无效投标处理：</w:t>
      </w:r>
    </w:p>
    <w:p w14:paraId="719BDF79">
      <w:pPr>
        <w:spacing w:line="500" w:lineRule="exact"/>
        <w:ind w:firstLine="562" w:firstLineChars="200"/>
        <w:rPr>
          <w:rFonts w:ascii="仿宋" w:hAnsi="仿宋" w:eastAsia="仿宋" w:cs="仿宋"/>
          <w:b/>
          <w:bCs/>
          <w:color w:val="FF0000"/>
          <w:kern w:val="0"/>
          <w:sz w:val="28"/>
          <w:szCs w:val="28"/>
        </w:rPr>
      </w:pPr>
      <w:r>
        <w:rPr>
          <w:rFonts w:hint="eastAsia" w:ascii="仿宋" w:hAnsi="仿宋" w:eastAsia="仿宋" w:cs="仿宋"/>
          <w:b/>
          <w:bCs/>
          <w:color w:val="FF0000"/>
          <w:kern w:val="0"/>
          <w:sz w:val="28"/>
          <w:szCs w:val="28"/>
        </w:rPr>
        <w:t>①调整明细内容及顺序；</w:t>
      </w:r>
    </w:p>
    <w:p w14:paraId="03D90DDC">
      <w:pPr>
        <w:spacing w:line="500" w:lineRule="exact"/>
        <w:ind w:firstLine="562" w:firstLineChars="200"/>
        <w:rPr>
          <w:rFonts w:ascii="仿宋" w:hAnsi="仿宋" w:eastAsia="仿宋" w:cs="仿宋"/>
          <w:b/>
          <w:bCs/>
          <w:color w:val="FF0000"/>
          <w:kern w:val="0"/>
          <w:sz w:val="28"/>
          <w:szCs w:val="28"/>
        </w:rPr>
      </w:pPr>
      <w:r>
        <w:rPr>
          <w:rFonts w:hint="eastAsia" w:ascii="仿宋" w:hAnsi="仿宋" w:eastAsia="仿宋" w:cs="仿宋"/>
          <w:b/>
          <w:bCs/>
          <w:color w:val="FF0000"/>
          <w:kern w:val="0"/>
          <w:sz w:val="28"/>
          <w:szCs w:val="28"/>
        </w:rPr>
        <w:t>②少报、漏报；</w:t>
      </w:r>
    </w:p>
    <w:p w14:paraId="38F56FCA">
      <w:pPr>
        <w:spacing w:line="500" w:lineRule="exact"/>
        <w:ind w:firstLine="562" w:firstLineChars="200"/>
        <w:rPr>
          <w:rFonts w:ascii="仿宋" w:hAnsi="仿宋" w:eastAsia="仿宋" w:cs="仿宋"/>
          <w:b/>
          <w:bCs/>
          <w:sz w:val="28"/>
          <w:szCs w:val="28"/>
        </w:rPr>
      </w:pPr>
      <w:r>
        <w:rPr>
          <w:rFonts w:hint="eastAsia" w:ascii="仿宋" w:hAnsi="仿宋" w:eastAsia="仿宋" w:cs="仿宋"/>
          <w:b/>
          <w:bCs/>
          <w:color w:val="FF0000"/>
          <w:kern w:val="0"/>
          <w:sz w:val="28"/>
          <w:szCs w:val="28"/>
        </w:rPr>
        <w:t>③未按报价文件格式要求报价的其他情形。</w:t>
      </w:r>
    </w:p>
    <w:p w14:paraId="3ACE5B12">
      <w:pPr>
        <w:spacing w:line="50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注：评标委员会认为投标单位的报价明显不合理或者低于成本，有可能影响产品质量或不能诚信履约的，投标单位须在30分钟内提供书面文件予以解释说明，并提交相关证明材料；投标单位不能证明其报价合理性的，评标委员会将其作为无效投标处理。</w:t>
      </w:r>
    </w:p>
    <w:p w14:paraId="19888E58">
      <w:pPr>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（二）产品综合性能（10分）</w:t>
      </w:r>
    </w:p>
    <w:p w14:paraId="26C9806A">
      <w:pPr>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根据所投产品的综合性能综合评定，包括产品品牌、生产商或制造商、产地、配料、质量等级等。</w:t>
      </w:r>
    </w:p>
    <w:p w14:paraId="1B503010">
      <w:pPr>
        <w:spacing w:line="500" w:lineRule="exact"/>
        <w:ind w:firstLine="560" w:firstLineChars="200"/>
        <w:rPr>
          <w:rFonts w:ascii="仿宋" w:hAnsi="仿宋" w:eastAsia="仿宋" w:cs="仿宋"/>
          <w:b/>
          <w:bCs/>
          <w:sz w:val="28"/>
          <w:szCs w:val="28"/>
        </w:rPr>
      </w:pPr>
      <w:r>
        <w:rPr>
          <w:rFonts w:hint="eastAsia" w:ascii="仿宋" w:hAnsi="仿宋" w:eastAsia="仿宋" w:cs="仿宋"/>
          <w:sz w:val="28"/>
          <w:szCs w:val="28"/>
        </w:rPr>
        <w:t>产品品牌认可度高，品质高、有保障，优于采购需求的，得10分；产品品牌认可度较高，品质较高，较能优于采购需求的，得7分；有一定品牌认可度，产品品质基本满足采购需求的，得4分；产品品牌认可度较差，品质一般的，得1分；其他不得分。</w:t>
      </w:r>
    </w:p>
    <w:p w14:paraId="6E508936">
      <w:pPr>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（三）企业认证证书及获奖证书（5分）</w:t>
      </w:r>
    </w:p>
    <w:p w14:paraId="22ACCDB0">
      <w:pPr>
        <w:spacing w:line="500" w:lineRule="exact"/>
        <w:ind w:firstLine="560" w:firstLineChars="200"/>
        <w:rPr>
          <w:rFonts w:ascii="仿宋" w:hAnsi="仿宋" w:eastAsia="仿宋" w:cs="仿宋"/>
          <w:kern w:val="0"/>
          <w:sz w:val="28"/>
          <w:szCs w:val="28"/>
        </w:rPr>
      </w:pPr>
      <w:r>
        <w:rPr>
          <w:rFonts w:hint="eastAsia" w:ascii="仿宋" w:hAnsi="仿宋" w:eastAsia="仿宋" w:cs="仿宋"/>
          <w:sz w:val="28"/>
          <w:szCs w:val="28"/>
        </w:rPr>
        <w:t>1.</w:t>
      </w:r>
      <w:r>
        <w:rPr>
          <w:rFonts w:hint="eastAsia" w:ascii="仿宋" w:hAnsi="仿宋" w:eastAsia="仿宋" w:cs="仿宋"/>
          <w:kern w:val="0"/>
          <w:sz w:val="28"/>
          <w:szCs w:val="28"/>
        </w:rPr>
        <w:t>投标单位具有ISO9001质量管理体系认证证书、HACCP或ISO22000食品安全管理体系认证证书、ISO14000环境管理体系认证证书，每提供一项有效期内证书得1分，最高得3分。</w:t>
      </w:r>
    </w:p>
    <w:p w14:paraId="27AB05D4">
      <w:pPr>
        <w:spacing w:line="50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kern w:val="0"/>
          <w:sz w:val="28"/>
          <w:szCs w:val="28"/>
        </w:rPr>
        <w:t>注：</w:t>
      </w:r>
      <w:r>
        <w:rPr>
          <w:rFonts w:hint="eastAsia" w:ascii="仿宋" w:hAnsi="仿宋" w:eastAsia="仿宋" w:cs="仿宋"/>
          <w:b/>
          <w:bCs/>
          <w:sz w:val="28"/>
          <w:szCs w:val="28"/>
        </w:rPr>
        <w:t>须提供有效的证书复印件</w:t>
      </w:r>
      <w:bookmarkStart w:id="0" w:name="OLE_LINK8"/>
      <w:r>
        <w:rPr>
          <w:rFonts w:hint="eastAsia" w:ascii="仿宋" w:hAnsi="仿宋" w:eastAsia="仿宋" w:cs="仿宋"/>
          <w:b/>
          <w:bCs/>
          <w:sz w:val="28"/>
          <w:szCs w:val="28"/>
        </w:rPr>
        <w:t>及国家认监委官网查询截图，否则</w:t>
      </w:r>
      <w:r>
        <w:rPr>
          <w:rFonts w:hint="eastAsia" w:ascii="仿宋" w:hAnsi="仿宋" w:eastAsia="仿宋" w:cs="仿宋"/>
          <w:b/>
          <w:bCs/>
          <w:color w:val="000000" w:themeColor="text1"/>
          <w:sz w:val="28"/>
          <w:szCs w:val="28"/>
          <w14:textFill>
            <w14:solidFill>
              <w14:schemeClr w14:val="tx1"/>
            </w14:solidFill>
          </w14:textFill>
        </w:rPr>
        <w:t>不得分。</w:t>
      </w:r>
    </w:p>
    <w:p w14:paraId="5A5B9029">
      <w:pPr>
        <w:spacing w:line="50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2.202</w:t>
      </w:r>
      <w:r>
        <w:rPr>
          <w:rFonts w:ascii="仿宋" w:hAnsi="仿宋" w:eastAsia="仿宋" w:cs="仿宋"/>
          <w:color w:val="000000" w:themeColor="text1"/>
          <w:sz w:val="28"/>
          <w:szCs w:val="28"/>
          <w14:textFill>
            <w14:solidFill>
              <w14:schemeClr w14:val="tx1"/>
            </w14:solidFill>
          </w14:textFill>
        </w:rPr>
        <w:t>3</w:t>
      </w:r>
      <w:r>
        <w:rPr>
          <w:rFonts w:hint="eastAsia" w:ascii="仿宋" w:hAnsi="仿宋" w:eastAsia="仿宋" w:cs="仿宋"/>
          <w:color w:val="000000" w:themeColor="text1"/>
          <w:sz w:val="28"/>
          <w:szCs w:val="28"/>
          <w14:textFill>
            <w14:solidFill>
              <w14:schemeClr w14:val="tx1"/>
            </w14:solidFill>
          </w14:textFill>
        </w:rPr>
        <w:t>年6月以来，所投产品或产品生产企业获得过国家级荣誉得2</w:t>
      </w:r>
      <w:r>
        <w:rPr>
          <w:rFonts w:ascii="仿宋" w:hAnsi="仿宋" w:eastAsia="仿宋" w:cs="仿宋"/>
          <w:color w:val="000000" w:themeColor="text1"/>
          <w:sz w:val="28"/>
          <w:szCs w:val="28"/>
          <w14:textFill>
            <w14:solidFill>
              <w14:schemeClr w14:val="tx1"/>
            </w14:solidFill>
          </w14:textFill>
        </w:rPr>
        <w:t>分</w:t>
      </w:r>
      <w:r>
        <w:rPr>
          <w:rFonts w:hint="eastAsia" w:ascii="仿宋" w:hAnsi="仿宋" w:eastAsia="仿宋" w:cs="仿宋"/>
          <w:color w:val="000000" w:themeColor="text1"/>
          <w:sz w:val="28"/>
          <w:szCs w:val="28"/>
          <w14:textFill>
            <w14:solidFill>
              <w14:schemeClr w14:val="tx1"/>
            </w14:solidFill>
          </w14:textFill>
        </w:rPr>
        <w:t>；获得过省市级荣誉得1</w:t>
      </w:r>
      <w:r>
        <w:rPr>
          <w:rFonts w:ascii="仿宋" w:hAnsi="仿宋" w:eastAsia="仿宋" w:cs="仿宋"/>
          <w:color w:val="000000" w:themeColor="text1"/>
          <w:sz w:val="28"/>
          <w:szCs w:val="28"/>
          <w14:textFill>
            <w14:solidFill>
              <w14:schemeClr w14:val="tx1"/>
            </w14:solidFill>
          </w14:textFill>
        </w:rPr>
        <w:t>分（</w:t>
      </w:r>
      <w:r>
        <w:rPr>
          <w:rFonts w:hint="eastAsia" w:ascii="仿宋" w:hAnsi="仿宋" w:eastAsia="仿宋" w:cs="仿宋"/>
          <w:color w:val="000000" w:themeColor="text1"/>
          <w:sz w:val="28"/>
          <w:szCs w:val="28"/>
          <w14:textFill>
            <w14:solidFill>
              <w14:schemeClr w14:val="tx1"/>
            </w14:solidFill>
          </w14:textFill>
        </w:rPr>
        <w:t>以最高荣誉计分，最高得2分）。</w:t>
      </w:r>
    </w:p>
    <w:bookmarkEnd w:id="0"/>
    <w:p w14:paraId="05B649B8">
      <w:pPr>
        <w:spacing w:line="500" w:lineRule="exact"/>
        <w:ind w:firstLine="562" w:firstLineChars="200"/>
        <w:rPr>
          <w:rFonts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注：须提供有效的证书复印件或相关证明材料，否则不得分。</w:t>
      </w:r>
    </w:p>
    <w:p w14:paraId="3D36BCA2">
      <w:pPr>
        <w:spacing w:line="50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（四）服务业绩（</w:t>
      </w:r>
      <w:r>
        <w:rPr>
          <w:rFonts w:ascii="仿宋" w:hAnsi="仿宋" w:eastAsia="仿宋" w:cs="仿宋"/>
          <w:color w:val="000000" w:themeColor="text1"/>
          <w:sz w:val="28"/>
          <w:szCs w:val="28"/>
          <w14:textFill>
            <w14:solidFill>
              <w14:schemeClr w14:val="tx1"/>
            </w14:solidFill>
          </w14:textFill>
        </w:rPr>
        <w:t>20</w:t>
      </w:r>
      <w:r>
        <w:rPr>
          <w:rFonts w:hint="eastAsia" w:ascii="仿宋" w:hAnsi="仿宋" w:eastAsia="仿宋" w:cs="仿宋"/>
          <w:color w:val="000000" w:themeColor="text1"/>
          <w:sz w:val="28"/>
          <w:szCs w:val="28"/>
          <w14:textFill>
            <w14:solidFill>
              <w14:schemeClr w14:val="tx1"/>
            </w14:solidFill>
          </w14:textFill>
        </w:rPr>
        <w:t>分）</w:t>
      </w:r>
    </w:p>
    <w:p w14:paraId="77EF73CE">
      <w:pPr>
        <w:spacing w:line="500" w:lineRule="exact"/>
        <w:ind w:firstLine="560" w:firstLineChars="200"/>
        <w:rPr>
          <w:rFonts w:ascii="仿宋" w:hAnsi="仿宋" w:eastAsia="仿宋" w:cs="仿宋"/>
          <w:color w:val="000000" w:themeColor="text1"/>
          <w:sz w:val="28"/>
          <w:szCs w:val="28"/>
          <w14:textFill>
            <w14:solidFill>
              <w14:schemeClr w14:val="tx1"/>
            </w14:solidFill>
          </w14:textFill>
        </w:rPr>
      </w:pPr>
      <w:bookmarkStart w:id="1" w:name="OLE_LINK3"/>
      <w:r>
        <w:rPr>
          <w:rFonts w:hint="eastAsia" w:ascii="仿宋" w:hAnsi="仿宋" w:eastAsia="仿宋" w:cs="仿宋"/>
          <w:color w:val="000000" w:themeColor="text1"/>
          <w:sz w:val="28"/>
          <w:szCs w:val="28"/>
          <w14:textFill>
            <w14:solidFill>
              <w14:schemeClr w14:val="tx1"/>
            </w14:solidFill>
          </w14:textFill>
        </w:rPr>
        <w:t>（1）根据投标单位提供的自202</w:t>
      </w:r>
      <w:r>
        <w:rPr>
          <w:rFonts w:ascii="仿宋" w:hAnsi="仿宋" w:eastAsia="仿宋" w:cs="仿宋"/>
          <w:color w:val="000000" w:themeColor="text1"/>
          <w:sz w:val="28"/>
          <w:szCs w:val="28"/>
          <w14:textFill>
            <w14:solidFill>
              <w14:schemeClr w14:val="tx1"/>
            </w14:solidFill>
          </w14:textFill>
        </w:rPr>
        <w:t>3</w:t>
      </w:r>
      <w:r>
        <w:rPr>
          <w:rFonts w:hint="eastAsia" w:ascii="仿宋" w:hAnsi="仿宋" w:eastAsia="仿宋" w:cs="仿宋"/>
          <w:color w:val="000000" w:themeColor="text1"/>
          <w:sz w:val="28"/>
          <w:szCs w:val="28"/>
          <w14:textFill>
            <w14:solidFill>
              <w14:schemeClr w14:val="tx1"/>
            </w14:solidFill>
          </w14:textFill>
        </w:rPr>
        <w:t>年6月以来（以合同签订时间为准）与企事业单位的供货证明进行评定。</w:t>
      </w:r>
      <w:r>
        <w:rPr>
          <w:rFonts w:ascii="仿宋" w:hAnsi="仿宋" w:eastAsia="仿宋" w:cs="仿宋"/>
          <w:color w:val="000000" w:themeColor="text1"/>
          <w:sz w:val="28"/>
          <w:szCs w:val="28"/>
          <w14:textFill>
            <w14:solidFill>
              <w14:schemeClr w14:val="tx1"/>
            </w14:solidFill>
          </w14:textFill>
        </w:rPr>
        <w:t>①</w:t>
      </w:r>
      <w:r>
        <w:rPr>
          <w:rFonts w:hint="eastAsia" w:ascii="仿宋" w:hAnsi="仿宋" w:eastAsia="仿宋" w:cs="仿宋"/>
          <w:color w:val="000000" w:themeColor="text1"/>
          <w:sz w:val="28"/>
          <w:szCs w:val="28"/>
          <w14:textFill>
            <w14:solidFill>
              <w14:schemeClr w14:val="tx1"/>
            </w14:solidFill>
          </w14:textFill>
        </w:rPr>
        <w:t>每项业绩的合同实际履行时间必须一年及以上；②须提供完整合同复印件；③须提供标段产品的实际供货清单，包括所投标段的品类、全部或部分品种。每提供1份完整有效业绩得1</w:t>
      </w:r>
      <w:r>
        <w:rPr>
          <w:rFonts w:ascii="仿宋" w:hAnsi="仿宋" w:eastAsia="仿宋" w:cs="仿宋"/>
          <w:color w:val="000000" w:themeColor="text1"/>
          <w:sz w:val="28"/>
          <w:szCs w:val="28"/>
          <w14:textFill>
            <w14:solidFill>
              <w14:schemeClr w14:val="tx1"/>
            </w14:solidFill>
          </w14:textFill>
        </w:rPr>
        <w:t>分，</w:t>
      </w:r>
      <w:r>
        <w:rPr>
          <w:rFonts w:hint="eastAsia" w:ascii="仿宋" w:hAnsi="仿宋" w:eastAsia="仿宋" w:cs="仿宋"/>
          <w:color w:val="000000" w:themeColor="text1"/>
          <w:sz w:val="28"/>
          <w:szCs w:val="28"/>
          <w14:textFill>
            <w14:solidFill>
              <w14:schemeClr w14:val="tx1"/>
            </w14:solidFill>
          </w14:textFill>
        </w:rPr>
        <w:t>最高得12分。</w:t>
      </w:r>
    </w:p>
    <w:p w14:paraId="383AA7B0">
      <w:pPr>
        <w:spacing w:line="500" w:lineRule="exact"/>
        <w:ind w:firstLine="562" w:firstLineChars="200"/>
        <w:rPr>
          <w:rFonts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注：未提供或提供不全不得分，业绩为同一服务单位的不重复计分。中标后，中标单位须提供上述合同原件供学校核查。</w:t>
      </w:r>
    </w:p>
    <w:p w14:paraId="3D3FDC89">
      <w:pPr>
        <w:spacing w:line="500" w:lineRule="exact"/>
        <w:ind w:firstLine="560" w:firstLineChars="200"/>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（2）投标单位所提供的上述业绩，若同一服务单位的履约时间连续三年及以上的，每提供一份符合要求的得2</w:t>
      </w:r>
      <w:r>
        <w:rPr>
          <w:rFonts w:ascii="仿宋" w:hAnsi="仿宋" w:eastAsia="仿宋" w:cs="仿宋"/>
          <w:color w:val="000000" w:themeColor="text1"/>
          <w:sz w:val="28"/>
          <w:szCs w:val="28"/>
          <w14:textFill>
            <w14:solidFill>
              <w14:schemeClr w14:val="tx1"/>
            </w14:solidFill>
          </w14:textFill>
        </w:rPr>
        <w:t>分，最多</w:t>
      </w:r>
      <w:r>
        <w:rPr>
          <w:rFonts w:hint="eastAsia" w:ascii="仿宋" w:hAnsi="仿宋" w:eastAsia="仿宋" w:cs="仿宋"/>
          <w:color w:val="000000" w:themeColor="text1"/>
          <w:sz w:val="28"/>
          <w:szCs w:val="28"/>
          <w14:textFill>
            <w14:solidFill>
              <w14:schemeClr w14:val="tx1"/>
            </w14:solidFill>
          </w14:textFill>
        </w:rPr>
        <w:t>得4</w:t>
      </w:r>
      <w:r>
        <w:rPr>
          <w:rFonts w:ascii="仿宋" w:hAnsi="仿宋" w:eastAsia="仿宋" w:cs="仿宋"/>
          <w:color w:val="000000" w:themeColor="text1"/>
          <w:sz w:val="28"/>
          <w:szCs w:val="28"/>
          <w14:textFill>
            <w14:solidFill>
              <w14:schemeClr w14:val="tx1"/>
            </w14:solidFill>
          </w14:textFill>
        </w:rPr>
        <w:t>分。</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lang w:val="en-US" w:eastAsia="zh-CN"/>
          <w14:textFill>
            <w14:solidFill>
              <w14:schemeClr w14:val="tx1"/>
            </w14:solidFill>
          </w14:textFill>
        </w:rPr>
        <w:t>须</w:t>
      </w:r>
      <w:r>
        <w:rPr>
          <w:rFonts w:hint="eastAsia" w:ascii="仿宋" w:hAnsi="仿宋" w:eastAsia="仿宋" w:cs="仿宋"/>
          <w:color w:val="000000" w:themeColor="text1"/>
          <w:sz w:val="28"/>
          <w:szCs w:val="28"/>
          <w14:textFill>
            <w14:solidFill>
              <w14:schemeClr w14:val="tx1"/>
            </w14:solidFill>
          </w14:textFill>
        </w:rPr>
        <w:t>提供</w:t>
      </w:r>
      <w:r>
        <w:rPr>
          <w:rFonts w:hint="eastAsia" w:ascii="仿宋" w:hAnsi="仿宋" w:eastAsia="仿宋" w:cs="仿宋"/>
          <w:color w:val="000000" w:themeColor="text1"/>
          <w:sz w:val="28"/>
          <w:szCs w:val="28"/>
          <w:lang w:val="en-US" w:eastAsia="zh-CN"/>
          <w14:textFill>
            <w14:solidFill>
              <w14:schemeClr w14:val="tx1"/>
            </w14:solidFill>
          </w14:textFill>
        </w:rPr>
        <w:t>覆盖履约期限的</w:t>
      </w:r>
      <w:r>
        <w:rPr>
          <w:rFonts w:hint="eastAsia" w:ascii="仿宋" w:hAnsi="仿宋" w:eastAsia="仿宋" w:cs="仿宋"/>
          <w:color w:val="000000" w:themeColor="text1"/>
          <w:sz w:val="28"/>
          <w:szCs w:val="28"/>
          <w14:textFill>
            <w14:solidFill>
              <w14:schemeClr w14:val="tx1"/>
            </w14:solidFill>
          </w14:textFill>
        </w:rPr>
        <w:t>完整合同复印件</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lang w:val="en-US" w:eastAsia="zh-CN"/>
          <w14:textFill>
            <w14:solidFill>
              <w14:schemeClr w14:val="tx1"/>
            </w14:solidFill>
          </w14:textFill>
        </w:rPr>
        <w:t>否则不得分</w:t>
      </w:r>
      <w:r>
        <w:rPr>
          <w:rFonts w:hint="eastAsia" w:ascii="仿宋" w:hAnsi="仿宋" w:eastAsia="仿宋" w:cs="仿宋"/>
          <w:color w:val="000000" w:themeColor="text1"/>
          <w:sz w:val="28"/>
          <w:szCs w:val="28"/>
          <w:lang w:eastAsia="zh-CN"/>
          <w14:textFill>
            <w14:solidFill>
              <w14:schemeClr w14:val="tx1"/>
            </w14:solidFill>
          </w14:textFill>
        </w:rPr>
        <w:t>）</w:t>
      </w:r>
    </w:p>
    <w:p w14:paraId="55FC4631">
      <w:pPr>
        <w:spacing w:line="500" w:lineRule="exact"/>
        <w:ind w:firstLine="560" w:firstLineChars="200"/>
        <w:rPr>
          <w:rFonts w:ascii="仿宋" w:hAnsi="仿宋" w:eastAsia="仿宋" w:cs="仿宋"/>
          <w:color w:val="000000" w:themeColor="text1"/>
          <w:sz w:val="28"/>
          <w:szCs w:val="28"/>
          <w14:textFill>
            <w14:solidFill>
              <w14:schemeClr w14:val="tx1"/>
            </w14:solidFill>
          </w14:textFill>
        </w:rPr>
      </w:pPr>
      <w:r>
        <w:rPr>
          <w:rFonts w:ascii="仿宋" w:hAnsi="仿宋" w:eastAsia="仿宋" w:cs="仿宋"/>
          <w:color w:val="000000" w:themeColor="text1"/>
          <w:sz w:val="28"/>
          <w:szCs w:val="28"/>
          <w14:textFill>
            <w14:solidFill>
              <w14:schemeClr w14:val="tx1"/>
            </w14:solidFill>
          </w14:textFill>
        </w:rPr>
        <w:t>（</w:t>
      </w:r>
      <w:r>
        <w:rPr>
          <w:rFonts w:hint="eastAsia" w:ascii="仿宋" w:hAnsi="仿宋" w:eastAsia="仿宋" w:cs="仿宋"/>
          <w:color w:val="000000" w:themeColor="text1"/>
          <w:sz w:val="28"/>
          <w:szCs w:val="28"/>
          <w14:textFill>
            <w14:solidFill>
              <w14:schemeClr w14:val="tx1"/>
            </w14:solidFill>
          </w14:textFill>
        </w:rPr>
        <w:t>3</w:t>
      </w:r>
      <w:r>
        <w:rPr>
          <w:rFonts w:ascii="仿宋" w:hAnsi="仿宋" w:eastAsia="仿宋" w:cs="仿宋"/>
          <w:color w:val="000000" w:themeColor="text1"/>
          <w:sz w:val="28"/>
          <w:szCs w:val="28"/>
          <w14:textFill>
            <w14:solidFill>
              <w14:schemeClr w14:val="tx1"/>
            </w14:solidFill>
          </w14:textFill>
        </w:rPr>
        <w:t>）</w:t>
      </w:r>
      <w:r>
        <w:rPr>
          <w:rFonts w:hint="eastAsia" w:ascii="仿宋" w:hAnsi="仿宋" w:eastAsia="仿宋" w:cs="仿宋"/>
          <w:color w:val="000000" w:themeColor="text1"/>
          <w:sz w:val="28"/>
          <w:szCs w:val="28"/>
          <w14:textFill>
            <w14:solidFill>
              <w14:schemeClr w14:val="tx1"/>
            </w14:solidFill>
          </w14:textFill>
        </w:rPr>
        <w:t>上述业绩中投标单位获得过服务单位评优评先表彰的，每提供一个得2</w:t>
      </w:r>
      <w:r>
        <w:rPr>
          <w:rFonts w:ascii="仿宋" w:hAnsi="仿宋" w:eastAsia="仿宋" w:cs="仿宋"/>
          <w:color w:val="000000" w:themeColor="text1"/>
          <w:sz w:val="28"/>
          <w:szCs w:val="28"/>
          <w14:textFill>
            <w14:solidFill>
              <w14:schemeClr w14:val="tx1"/>
            </w14:solidFill>
          </w14:textFill>
        </w:rPr>
        <w:t>分，最多加</w:t>
      </w:r>
      <w:r>
        <w:rPr>
          <w:rFonts w:hint="eastAsia" w:ascii="仿宋" w:hAnsi="仿宋" w:eastAsia="仿宋" w:cs="仿宋"/>
          <w:color w:val="000000" w:themeColor="text1"/>
          <w:sz w:val="28"/>
          <w:szCs w:val="28"/>
          <w14:textFill>
            <w14:solidFill>
              <w14:schemeClr w14:val="tx1"/>
            </w14:solidFill>
          </w14:textFill>
        </w:rPr>
        <w:t>4</w:t>
      </w:r>
      <w:r>
        <w:rPr>
          <w:rFonts w:ascii="仿宋" w:hAnsi="仿宋" w:eastAsia="仿宋" w:cs="仿宋"/>
          <w:color w:val="000000" w:themeColor="text1"/>
          <w:sz w:val="28"/>
          <w:szCs w:val="28"/>
          <w14:textFill>
            <w14:solidFill>
              <w14:schemeClr w14:val="tx1"/>
            </w14:solidFill>
          </w14:textFill>
        </w:rPr>
        <w:t>分。（</w:t>
      </w:r>
      <w:r>
        <w:rPr>
          <w:rFonts w:hint="eastAsia" w:ascii="仿宋" w:hAnsi="仿宋" w:eastAsia="仿宋" w:cs="仿宋"/>
          <w:color w:val="000000" w:themeColor="text1"/>
          <w:sz w:val="28"/>
          <w:szCs w:val="28"/>
          <w14:textFill>
            <w14:solidFill>
              <w14:schemeClr w14:val="tx1"/>
            </w14:solidFill>
          </w14:textFill>
        </w:rPr>
        <w:t>须提供服务单位出具的盖章证明材料</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lang w:val="en-US" w:eastAsia="zh-CN"/>
          <w14:textFill>
            <w14:solidFill>
              <w14:schemeClr w14:val="tx1"/>
            </w14:solidFill>
          </w14:textFill>
        </w:rPr>
        <w:t>否则不得分</w:t>
      </w:r>
      <w:r>
        <w:rPr>
          <w:rFonts w:ascii="仿宋" w:hAnsi="仿宋" w:eastAsia="仿宋" w:cs="仿宋"/>
          <w:color w:val="000000" w:themeColor="text1"/>
          <w:sz w:val="28"/>
          <w:szCs w:val="28"/>
          <w14:textFill>
            <w14:solidFill>
              <w14:schemeClr w14:val="tx1"/>
            </w14:solidFill>
          </w14:textFill>
        </w:rPr>
        <w:t>）</w:t>
      </w:r>
    </w:p>
    <w:bookmarkEnd w:id="1"/>
    <w:p w14:paraId="21CD9B93">
      <w:pPr>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（五）种植基地和仓储面积（8分）</w:t>
      </w:r>
    </w:p>
    <w:p w14:paraId="67D62599">
      <w:pPr>
        <w:spacing w:line="500" w:lineRule="exact"/>
        <w:ind w:firstLine="560" w:firstLineChars="200"/>
        <w:rPr>
          <w:rFonts w:ascii="仿宋" w:hAnsi="仿宋" w:eastAsia="仿宋" w:cs="仿宋"/>
          <w:b/>
          <w:sz w:val="28"/>
          <w:szCs w:val="28"/>
        </w:rPr>
      </w:pPr>
      <w:r>
        <w:rPr>
          <w:rFonts w:hint="eastAsia" w:ascii="仿宋" w:hAnsi="仿宋" w:eastAsia="仿宋" w:cs="仿宋"/>
          <w:bCs/>
          <w:sz w:val="28"/>
          <w:szCs w:val="28"/>
        </w:rPr>
        <w:t>1.种植基地低于250亩不得分，每满250亩加1分，最高加4分。</w:t>
      </w:r>
      <w:r>
        <w:rPr>
          <w:rFonts w:hint="eastAsia" w:ascii="仿宋" w:hAnsi="仿宋" w:eastAsia="仿宋" w:cs="仿宋"/>
          <w:b/>
          <w:sz w:val="28"/>
          <w:szCs w:val="28"/>
        </w:rPr>
        <w:t>自有种植基地须提供自有土地证复印件；租赁的须提供租赁协议及出租方土地证复印件。</w:t>
      </w:r>
    </w:p>
    <w:p w14:paraId="1D6D5E90">
      <w:pPr>
        <w:spacing w:line="500" w:lineRule="exact"/>
        <w:ind w:firstLine="560" w:firstLineChars="200"/>
        <w:rPr>
          <w:rFonts w:ascii="仿宋" w:hAnsi="仿宋" w:eastAsia="仿宋" w:cs="仿宋"/>
          <w:bCs/>
          <w:sz w:val="28"/>
          <w:szCs w:val="28"/>
        </w:rPr>
      </w:pPr>
      <w:r>
        <w:rPr>
          <w:rFonts w:hint="eastAsia" w:ascii="仿宋" w:hAnsi="仿宋" w:eastAsia="仿宋" w:cs="仿宋"/>
          <w:bCs/>
          <w:sz w:val="28"/>
          <w:szCs w:val="28"/>
        </w:rPr>
        <w:t>2.仓储面积低于500平方米不得分，每满500平方米加1分，最高加4分。</w:t>
      </w:r>
      <w:r>
        <w:rPr>
          <w:rFonts w:hint="eastAsia" w:ascii="仿宋" w:hAnsi="仿宋" w:eastAsia="仿宋" w:cs="仿宋"/>
          <w:b/>
          <w:bCs/>
          <w:sz w:val="28"/>
          <w:szCs w:val="28"/>
        </w:rPr>
        <w:t>自有仓库的须提供相关产权证明复印件，租赁的须提供租赁协议及出租方相关产权证明复印件。</w:t>
      </w:r>
    </w:p>
    <w:p w14:paraId="07D17715">
      <w:pPr>
        <w:spacing w:line="50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注：上述资料不提供或提供不全的，不得分。中标后，中标单位提供</w:t>
      </w:r>
      <w:r>
        <w:rPr>
          <w:rFonts w:hint="eastAsia" w:ascii="仿宋" w:hAnsi="仿宋" w:eastAsia="仿宋" w:cs="仿宋"/>
          <w:b/>
          <w:bCs/>
          <w:sz w:val="28"/>
          <w:szCs w:val="28"/>
          <w:lang w:val="en-US" w:eastAsia="zh-CN"/>
        </w:rPr>
        <w:t>材料</w:t>
      </w:r>
      <w:r>
        <w:rPr>
          <w:rFonts w:hint="eastAsia" w:ascii="仿宋" w:hAnsi="仿宋" w:eastAsia="仿宋" w:cs="仿宋"/>
          <w:b/>
          <w:bCs/>
          <w:sz w:val="28"/>
          <w:szCs w:val="28"/>
        </w:rPr>
        <w:t>原件供学校核查。</w:t>
      </w:r>
    </w:p>
    <w:p w14:paraId="09D22006">
      <w:pPr>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（六）运输能力（4分）</w:t>
      </w:r>
    </w:p>
    <w:p w14:paraId="5D232CEB">
      <w:pPr>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根据投标单位提供的运输车辆情况进行评分，少于4辆不得分，每满4辆加2分，最高得4分。</w:t>
      </w:r>
    </w:p>
    <w:p w14:paraId="297F09B1">
      <w:pPr>
        <w:spacing w:line="50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注：自有运输车辆须提供运输车辆的机动车行驶证复印件；租赁的须提供租赁协议及运输车辆的机动车行驶证复印件；同时提供配送车辆专用承诺函。未提供或提供不全的，不得分。</w:t>
      </w:r>
    </w:p>
    <w:p w14:paraId="09A3885F">
      <w:pPr>
        <w:spacing w:line="50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（七）食品安全保障机制（4</w:t>
      </w:r>
      <w:r>
        <w:rPr>
          <w:rFonts w:ascii="仿宋" w:hAnsi="仿宋" w:eastAsia="仿宋" w:cs="仿宋"/>
          <w:color w:val="000000" w:themeColor="text1"/>
          <w:sz w:val="28"/>
          <w:szCs w:val="28"/>
          <w14:textFill>
            <w14:solidFill>
              <w14:schemeClr w14:val="tx1"/>
            </w14:solidFill>
          </w14:textFill>
        </w:rPr>
        <w:t>分</w:t>
      </w:r>
      <w:r>
        <w:rPr>
          <w:rFonts w:hint="eastAsia" w:ascii="仿宋" w:hAnsi="仿宋" w:eastAsia="仿宋" w:cs="仿宋"/>
          <w:color w:val="000000" w:themeColor="text1"/>
          <w:sz w:val="28"/>
          <w:szCs w:val="28"/>
          <w14:textFill>
            <w14:solidFill>
              <w14:schemeClr w14:val="tx1"/>
            </w14:solidFill>
          </w14:textFill>
        </w:rPr>
        <w:t>）</w:t>
      </w:r>
    </w:p>
    <w:p w14:paraId="61B35969">
      <w:pPr>
        <w:spacing w:line="50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根据投标单位对食品安全保障机制的建立、实施情况（包括但不限于食品安全管理组织架构及职责、全流程食品安全管理制度、食品安全风险管控制度</w:t>
      </w:r>
      <w:r>
        <w:rPr>
          <w:rFonts w:hint="eastAsia" w:ascii="仿宋" w:hAnsi="仿宋" w:eastAsia="仿宋" w:cs="仿宋"/>
          <w:bCs/>
          <w:color w:val="000000" w:themeColor="text1"/>
          <w:sz w:val="28"/>
          <w:szCs w:val="28"/>
          <w14:textFill>
            <w14:solidFill>
              <w14:schemeClr w14:val="tx1"/>
            </w14:solidFill>
          </w14:textFill>
        </w:rPr>
        <w:t>等）综合</w:t>
      </w:r>
      <w:r>
        <w:rPr>
          <w:rFonts w:hint="eastAsia" w:ascii="仿宋" w:hAnsi="仿宋" w:eastAsia="仿宋" w:cs="仿宋"/>
          <w:color w:val="000000" w:themeColor="text1"/>
          <w:sz w:val="28"/>
          <w:szCs w:val="28"/>
          <w14:textFill>
            <w14:solidFill>
              <w14:schemeClr w14:val="tx1"/>
            </w14:solidFill>
          </w14:textFill>
        </w:rPr>
        <w:t>打分。</w:t>
      </w:r>
    </w:p>
    <w:p w14:paraId="3879F420">
      <w:pPr>
        <w:spacing w:line="50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食品安全保障机制</w:t>
      </w:r>
      <w:r>
        <w:rPr>
          <w:rFonts w:hint="eastAsia" w:ascii="仿宋" w:hAnsi="仿宋" w:eastAsia="仿宋" w:cs="仿宋"/>
          <w:bCs/>
          <w:color w:val="000000" w:themeColor="text1"/>
          <w:sz w:val="28"/>
          <w:szCs w:val="28"/>
          <w14:textFill>
            <w14:solidFill>
              <w14:schemeClr w14:val="tx1"/>
            </w14:solidFill>
          </w14:textFill>
        </w:rPr>
        <w:t>完善详细，措施合理，操作性强的得</w:t>
      </w:r>
      <w:r>
        <w:rPr>
          <w:rFonts w:ascii="仿宋" w:hAnsi="仿宋" w:eastAsia="仿宋" w:cs="仿宋"/>
          <w:bCs/>
          <w:color w:val="000000" w:themeColor="text1"/>
          <w:sz w:val="28"/>
          <w:szCs w:val="28"/>
          <w14:textFill>
            <w14:solidFill>
              <w14:schemeClr w14:val="tx1"/>
            </w14:solidFill>
          </w14:textFill>
        </w:rPr>
        <w:t>4</w:t>
      </w:r>
      <w:r>
        <w:rPr>
          <w:rFonts w:hint="eastAsia" w:ascii="仿宋" w:hAnsi="仿宋" w:eastAsia="仿宋" w:cs="仿宋"/>
          <w:bCs/>
          <w:color w:val="000000" w:themeColor="text1"/>
          <w:sz w:val="28"/>
          <w:szCs w:val="28"/>
          <w14:textFill>
            <w14:solidFill>
              <w14:schemeClr w14:val="tx1"/>
            </w14:solidFill>
          </w14:textFill>
        </w:rPr>
        <w:t>分；食品安全保障机制完善较详细，措施较合理，操作性较强的得3分；食品安全保障机制简单，措施部分合理，操作性较弱的得2分；食品安全保障机制内容缺失，措施不明确，操作性差的得1分；不提供不得分。</w:t>
      </w:r>
    </w:p>
    <w:p w14:paraId="39974771">
      <w:pPr>
        <w:spacing w:line="500" w:lineRule="exact"/>
        <w:ind w:firstLine="562" w:firstLineChars="200"/>
        <w:rPr>
          <w:rFonts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b/>
          <w:color w:val="000000" w:themeColor="text1"/>
          <w:sz w:val="28"/>
          <w:szCs w:val="28"/>
          <w14:textFill>
            <w14:solidFill>
              <w14:schemeClr w14:val="tx1"/>
            </w14:solidFill>
          </w14:textFill>
        </w:rPr>
        <w:t>注：以上食品安全保障机制需提供操作规范、检测设备场所等相关图片的证明材料。</w:t>
      </w:r>
    </w:p>
    <w:p w14:paraId="7B9C8F64">
      <w:pPr>
        <w:spacing w:line="500" w:lineRule="exact"/>
        <w:ind w:firstLine="560" w:firstLineChars="200"/>
        <w:rPr>
          <w:rFonts w:ascii="仿宋" w:hAnsi="仿宋" w:eastAsia="仿宋" w:cs="仿宋"/>
          <w:bCs/>
          <w:color w:val="000000" w:themeColor="text1"/>
          <w:sz w:val="28"/>
          <w:szCs w:val="28"/>
          <w14:textFill>
            <w14:solidFill>
              <w14:schemeClr w14:val="tx1"/>
            </w14:solidFill>
          </w14:textFill>
        </w:rPr>
      </w:pPr>
      <w:r>
        <w:rPr>
          <w:rFonts w:hint="eastAsia" w:ascii="仿宋" w:hAnsi="仿宋" w:eastAsia="仿宋" w:cs="仿宋"/>
          <w:bCs/>
          <w:color w:val="000000" w:themeColor="text1"/>
          <w:sz w:val="28"/>
          <w:szCs w:val="28"/>
          <w14:textFill>
            <w14:solidFill>
              <w14:schemeClr w14:val="tx1"/>
            </w14:solidFill>
          </w14:textFill>
        </w:rPr>
        <w:t>（八）服务团队配备（3分）</w:t>
      </w:r>
    </w:p>
    <w:p w14:paraId="4035EB43">
      <w:pPr>
        <w:spacing w:line="500" w:lineRule="exact"/>
        <w:ind w:firstLine="560" w:firstLineChars="200"/>
        <w:rPr>
          <w:rFonts w:ascii="仿宋" w:hAnsi="仿宋" w:eastAsia="仿宋" w:cs="仿宋"/>
          <w:bCs/>
          <w:color w:val="000000" w:themeColor="text1"/>
          <w:sz w:val="28"/>
          <w:szCs w:val="28"/>
          <w14:textFill>
            <w14:solidFill>
              <w14:schemeClr w14:val="tx1"/>
            </w14:solidFill>
          </w14:textFill>
        </w:rPr>
      </w:pPr>
      <w:r>
        <w:rPr>
          <w:rFonts w:hint="eastAsia" w:ascii="仿宋" w:hAnsi="仿宋" w:eastAsia="仿宋" w:cs="仿宋"/>
          <w:bCs/>
          <w:color w:val="000000" w:themeColor="text1"/>
          <w:sz w:val="28"/>
          <w:szCs w:val="28"/>
          <w14:textFill>
            <w14:solidFill>
              <w14:schemeClr w14:val="tx1"/>
            </w14:solidFill>
          </w14:textFill>
        </w:rPr>
        <w:t>1.根据投标单位为所投标段配备的项目负责人情况进行评分（2分）。项目负责人具有本科及以上学历的，得1分；具有3年及以上类似项目经历的，得1分。</w:t>
      </w:r>
    </w:p>
    <w:p w14:paraId="6F8F2D99">
      <w:pPr>
        <w:spacing w:line="500" w:lineRule="exact"/>
        <w:ind w:firstLine="560" w:firstLineChars="200"/>
        <w:rPr>
          <w:rFonts w:ascii="仿宋" w:hAnsi="仿宋" w:eastAsia="仿宋" w:cs="仿宋"/>
          <w:bCs/>
          <w:color w:val="000000" w:themeColor="text1"/>
          <w:sz w:val="28"/>
          <w:szCs w:val="28"/>
          <w14:textFill>
            <w14:solidFill>
              <w14:schemeClr w14:val="tx1"/>
            </w14:solidFill>
          </w14:textFill>
        </w:rPr>
      </w:pPr>
      <w:r>
        <w:rPr>
          <w:rFonts w:hint="eastAsia" w:ascii="仿宋" w:hAnsi="仿宋" w:eastAsia="仿宋" w:cs="仿宋"/>
          <w:bCs/>
          <w:color w:val="000000" w:themeColor="text1"/>
          <w:sz w:val="28"/>
          <w:szCs w:val="28"/>
          <w14:textFill>
            <w14:solidFill>
              <w14:schemeClr w14:val="tx1"/>
            </w14:solidFill>
          </w14:textFill>
        </w:rPr>
        <w:t>2.除项目负责人外，为项目配备2名骨干团队人员的，得1分，须提供人员名单和基本信息，否则不得分。</w:t>
      </w:r>
    </w:p>
    <w:p w14:paraId="62D532A0">
      <w:pPr>
        <w:spacing w:line="500" w:lineRule="exact"/>
        <w:rPr>
          <w:rFonts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b/>
          <w:color w:val="000000" w:themeColor="text1"/>
          <w:sz w:val="28"/>
          <w:szCs w:val="28"/>
          <w14:textFill>
            <w14:solidFill>
              <w14:schemeClr w14:val="tx1"/>
            </w14:solidFill>
          </w14:textFill>
        </w:rPr>
        <w:t xml:space="preserve">   注：以上须提供学历证书、劳动合同等相关证明材料及投标单位近3个月为其缴纳的社保证明复印件，否则不得分。</w:t>
      </w:r>
    </w:p>
    <w:p w14:paraId="280421A2">
      <w:pPr>
        <w:spacing w:line="50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（九）食品安全责任险（3分）</w:t>
      </w:r>
    </w:p>
    <w:p w14:paraId="418B00D8">
      <w:pPr>
        <w:spacing w:line="500" w:lineRule="exact"/>
        <w:ind w:firstLine="560" w:firstLineChars="200"/>
        <w:rPr>
          <w:rFonts w:ascii="仿宋" w:hAnsi="仿宋" w:eastAsia="仿宋" w:cs="仿宋"/>
          <w:bCs/>
          <w:color w:val="000000" w:themeColor="text1"/>
          <w:sz w:val="28"/>
          <w:szCs w:val="28"/>
          <w14:textFill>
            <w14:solidFill>
              <w14:schemeClr w14:val="tx1"/>
            </w14:solidFill>
          </w14:textFill>
        </w:rPr>
      </w:pPr>
      <w:r>
        <w:rPr>
          <w:rFonts w:hint="eastAsia" w:ascii="仿宋" w:hAnsi="仿宋" w:eastAsia="仿宋" w:cs="仿宋"/>
          <w:bCs/>
          <w:color w:val="000000" w:themeColor="text1"/>
          <w:sz w:val="28"/>
          <w:szCs w:val="28"/>
          <w14:textFill>
            <w14:solidFill>
              <w14:schemeClr w14:val="tx1"/>
            </w14:solidFill>
          </w14:textFill>
        </w:rPr>
        <w:t>根据投标单位承诺的服务期内为我校足额购买食品安全责任险情况进行评定。保额在500万元及以上的，得3分；400万元及以上，500万元以下的，得2分；300万元及以上，400万元以下的，得1分。未提供承诺的不得分。</w:t>
      </w:r>
    </w:p>
    <w:p w14:paraId="0CAC32C4">
      <w:pPr>
        <w:spacing w:line="500" w:lineRule="exact"/>
        <w:ind w:firstLine="562" w:firstLineChars="200"/>
        <w:rPr>
          <w:rFonts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b/>
          <w:color w:val="000000" w:themeColor="text1"/>
          <w:sz w:val="28"/>
          <w:szCs w:val="28"/>
          <w14:textFill>
            <w14:solidFill>
              <w14:schemeClr w14:val="tx1"/>
            </w14:solidFill>
          </w14:textFill>
        </w:rPr>
        <w:t>注：须提供承诺函，否则不得分。</w:t>
      </w:r>
    </w:p>
    <w:p w14:paraId="452449F1">
      <w:pPr>
        <w:spacing w:line="500" w:lineRule="exact"/>
        <w:ind w:firstLine="560" w:firstLineChars="200"/>
        <w:rPr>
          <w:rFonts w:ascii="仿宋" w:hAnsi="仿宋" w:eastAsia="仿宋" w:cs="仿宋"/>
          <w:b/>
          <w:color w:val="000000" w:themeColor="text1"/>
          <w:sz w:val="28"/>
          <w:szCs w:val="28"/>
          <w14:textFill>
            <w14:solidFill>
              <w14:schemeClr w14:val="tx1"/>
            </w14:solidFill>
          </w14:textFill>
        </w:rPr>
      </w:pPr>
      <w:bookmarkStart w:id="2" w:name="OLE_LINK2"/>
      <w:r>
        <w:rPr>
          <w:rFonts w:hint="eastAsia" w:ascii="仿宋" w:hAnsi="仿宋" w:eastAsia="仿宋" w:cs="仿宋"/>
          <w:bCs/>
          <w:color w:val="000000" w:themeColor="text1"/>
          <w:sz w:val="28"/>
          <w:szCs w:val="28"/>
          <w14:textFill>
            <w14:solidFill>
              <w14:schemeClr w14:val="tx1"/>
            </w14:solidFill>
          </w14:textFill>
        </w:rPr>
        <w:t>（十）</w:t>
      </w:r>
      <w:bookmarkStart w:id="3" w:name="OLE_LINK9"/>
      <w:r>
        <w:rPr>
          <w:rFonts w:hint="eastAsia" w:ascii="仿宋" w:hAnsi="仿宋" w:eastAsia="仿宋" w:cs="仿宋"/>
          <w:color w:val="000000" w:themeColor="text1"/>
          <w:sz w:val="28"/>
          <w:szCs w:val="28"/>
          <w14:textFill>
            <w14:solidFill>
              <w14:schemeClr w14:val="tx1"/>
            </w14:solidFill>
          </w14:textFill>
        </w:rPr>
        <w:t>应急处理实施方案</w:t>
      </w:r>
      <w:bookmarkStart w:id="4" w:name="OLE_LINK4"/>
      <w:r>
        <w:rPr>
          <w:rFonts w:hint="eastAsia" w:ascii="仿宋" w:hAnsi="仿宋" w:eastAsia="仿宋" w:cs="仿宋"/>
          <w:color w:val="000000" w:themeColor="text1"/>
          <w:sz w:val="28"/>
          <w:szCs w:val="28"/>
          <w14:textFill>
            <w14:solidFill>
              <w14:schemeClr w14:val="tx1"/>
            </w14:solidFill>
          </w14:textFill>
        </w:rPr>
        <w:t>（</w:t>
      </w:r>
      <w:r>
        <w:rPr>
          <w:rFonts w:ascii="仿宋" w:hAnsi="仿宋" w:eastAsia="仿宋" w:cs="仿宋"/>
          <w:color w:val="000000" w:themeColor="text1"/>
          <w:sz w:val="28"/>
          <w:szCs w:val="28"/>
          <w14:textFill>
            <w14:solidFill>
              <w14:schemeClr w14:val="tx1"/>
            </w14:solidFill>
          </w14:textFill>
        </w:rPr>
        <w:t>5</w:t>
      </w:r>
      <w:r>
        <w:rPr>
          <w:rFonts w:hint="eastAsia" w:ascii="仿宋" w:hAnsi="仿宋" w:eastAsia="仿宋" w:cs="仿宋"/>
          <w:color w:val="000000" w:themeColor="text1"/>
          <w:sz w:val="28"/>
          <w:szCs w:val="28"/>
          <w14:textFill>
            <w14:solidFill>
              <w14:schemeClr w14:val="tx1"/>
            </w14:solidFill>
          </w14:textFill>
        </w:rPr>
        <w:t>分）</w:t>
      </w:r>
    </w:p>
    <w:p w14:paraId="1C3579FF">
      <w:pPr>
        <w:spacing w:line="50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投标单位须列明各种可能发生的突发事件以及相应的处理办法，其中必须包括</w:t>
      </w:r>
      <w:r>
        <w:rPr>
          <w:rFonts w:ascii="仿宋" w:hAnsi="仿宋" w:eastAsia="仿宋" w:cs="仿宋"/>
          <w:color w:val="000000" w:themeColor="text1"/>
          <w:sz w:val="28"/>
          <w:szCs w:val="28"/>
          <w14:textFill>
            <w14:solidFill>
              <w14:schemeClr w14:val="tx1"/>
            </w14:solidFill>
          </w14:textFill>
        </w:rPr>
        <w:t>1</w:t>
      </w:r>
      <w:r>
        <w:rPr>
          <w:rFonts w:hint="eastAsia" w:ascii="仿宋" w:hAnsi="仿宋" w:eastAsia="仿宋" w:cs="仿宋"/>
          <w:color w:val="000000" w:themeColor="text1"/>
          <w:sz w:val="28"/>
          <w:szCs w:val="28"/>
          <w14:textFill>
            <w14:solidFill>
              <w14:schemeClr w14:val="tx1"/>
            </w14:solidFill>
          </w14:textFill>
        </w:rPr>
        <w:t>.</w:t>
      </w:r>
      <w:r>
        <w:rPr>
          <w:rFonts w:ascii="仿宋" w:hAnsi="仿宋" w:eastAsia="仿宋" w:cs="仿宋"/>
          <w:color w:val="000000" w:themeColor="text1"/>
          <w:sz w:val="28"/>
          <w:szCs w:val="28"/>
          <w14:textFill>
            <w14:solidFill>
              <w14:schemeClr w14:val="tx1"/>
            </w14:solidFill>
          </w14:textFill>
        </w:rPr>
        <w:t>承诺在市场价格骤涨情况下，</w:t>
      </w:r>
      <w:r>
        <w:rPr>
          <w:rFonts w:hint="eastAsia" w:ascii="仿宋" w:hAnsi="仿宋" w:eastAsia="仿宋" w:cs="仿宋"/>
          <w:color w:val="000000" w:themeColor="text1"/>
          <w:sz w:val="28"/>
          <w:szCs w:val="28"/>
          <w14:textFill>
            <w14:solidFill>
              <w14:schemeClr w14:val="tx1"/>
            </w14:solidFill>
          </w14:textFill>
        </w:rPr>
        <w:t>先按时供货再与采购人协商，在价格未调整情况下确保供应；</w:t>
      </w:r>
      <w:r>
        <w:rPr>
          <w:rFonts w:ascii="仿宋" w:hAnsi="仿宋" w:eastAsia="仿宋" w:cs="仿宋"/>
          <w:color w:val="000000" w:themeColor="text1"/>
          <w:sz w:val="28"/>
          <w:szCs w:val="28"/>
          <w14:textFill>
            <w14:solidFill>
              <w14:schemeClr w14:val="tx1"/>
            </w14:solidFill>
          </w14:textFill>
        </w:rPr>
        <w:t>2</w:t>
      </w:r>
      <w:r>
        <w:rPr>
          <w:rFonts w:hint="eastAsia" w:ascii="仿宋" w:hAnsi="仿宋" w:eastAsia="仿宋" w:cs="仿宋"/>
          <w:color w:val="000000" w:themeColor="text1"/>
          <w:sz w:val="28"/>
          <w:szCs w:val="28"/>
          <w14:textFill>
            <w14:solidFill>
              <w14:schemeClr w14:val="tx1"/>
            </w14:solidFill>
          </w14:textFill>
        </w:rPr>
        <w:t>.</w:t>
      </w:r>
      <w:r>
        <w:rPr>
          <w:rFonts w:ascii="仿宋" w:hAnsi="仿宋" w:eastAsia="仿宋" w:cs="仿宋"/>
          <w:color w:val="000000" w:themeColor="text1"/>
          <w:sz w:val="28"/>
          <w:szCs w:val="28"/>
          <w14:textFill>
            <w14:solidFill>
              <w14:schemeClr w14:val="tx1"/>
            </w14:solidFill>
          </w14:textFill>
        </w:rPr>
        <w:t>遭遇恶劣天气情况下（</w:t>
      </w:r>
      <w:r>
        <w:rPr>
          <w:rFonts w:hint="eastAsia" w:ascii="仿宋" w:hAnsi="仿宋" w:eastAsia="仿宋" w:cs="仿宋"/>
          <w:color w:val="000000" w:themeColor="text1"/>
          <w:sz w:val="28"/>
          <w:szCs w:val="28"/>
          <w14:textFill>
            <w14:solidFill>
              <w14:schemeClr w14:val="tx1"/>
            </w14:solidFill>
          </w14:textFill>
        </w:rPr>
        <w:t>台风、暴雨、冰灾、雪灾等</w:t>
      </w:r>
      <w:r>
        <w:rPr>
          <w:rFonts w:ascii="仿宋" w:hAnsi="仿宋" w:eastAsia="仿宋" w:cs="仿宋"/>
          <w:color w:val="000000" w:themeColor="text1"/>
          <w:sz w:val="28"/>
          <w:szCs w:val="28"/>
          <w14:textFill>
            <w14:solidFill>
              <w14:schemeClr w14:val="tx1"/>
            </w14:solidFill>
          </w14:textFill>
        </w:rPr>
        <w:t>）能保证及时供货，</w:t>
      </w:r>
      <w:r>
        <w:rPr>
          <w:rFonts w:hint="eastAsia" w:ascii="仿宋" w:hAnsi="仿宋" w:eastAsia="仿宋" w:cs="仿宋"/>
          <w:color w:val="000000" w:themeColor="text1"/>
          <w:sz w:val="28"/>
          <w:szCs w:val="28"/>
          <w14:textFill>
            <w14:solidFill>
              <w14:schemeClr w14:val="tx1"/>
            </w14:solidFill>
          </w14:textFill>
        </w:rPr>
        <w:t>在本地储备一定数量的应急食堂食材物资，并具备配送能力，保障食堂为校内师生正常提供服务（明确品种、数量、存地点、管理办法、启用方式等）</w:t>
      </w:r>
      <w:r>
        <w:rPr>
          <w:rFonts w:ascii="仿宋" w:hAnsi="仿宋" w:eastAsia="仿宋" w:cs="仿宋"/>
          <w:color w:val="000000" w:themeColor="text1"/>
          <w:sz w:val="28"/>
          <w:szCs w:val="28"/>
          <w14:textFill>
            <w14:solidFill>
              <w14:schemeClr w14:val="tx1"/>
            </w14:solidFill>
          </w14:textFill>
        </w:rPr>
        <w:t>；3</w:t>
      </w:r>
      <w:r>
        <w:rPr>
          <w:rFonts w:hint="eastAsia" w:ascii="仿宋" w:hAnsi="仿宋" w:eastAsia="仿宋" w:cs="仿宋"/>
          <w:color w:val="000000" w:themeColor="text1"/>
          <w:sz w:val="28"/>
          <w:szCs w:val="28"/>
          <w14:textFill>
            <w14:solidFill>
              <w14:schemeClr w14:val="tx1"/>
            </w14:solidFill>
          </w14:textFill>
        </w:rPr>
        <w:t>.</w:t>
      </w:r>
      <w:r>
        <w:rPr>
          <w:rFonts w:ascii="仿宋" w:hAnsi="仿宋" w:eastAsia="仿宋" w:cs="仿宋"/>
          <w:color w:val="000000" w:themeColor="text1"/>
          <w:sz w:val="28"/>
          <w:szCs w:val="28"/>
          <w14:textFill>
            <w14:solidFill>
              <w14:schemeClr w14:val="tx1"/>
            </w14:solidFill>
          </w14:textFill>
        </w:rPr>
        <w:t>遭</w:t>
      </w:r>
      <w:r>
        <w:rPr>
          <w:rFonts w:hint="eastAsia" w:ascii="仿宋" w:hAnsi="仿宋" w:eastAsia="仿宋" w:cs="仿宋"/>
          <w:color w:val="000000" w:themeColor="text1"/>
          <w:sz w:val="28"/>
          <w:szCs w:val="28"/>
          <w14:textFill>
            <w14:solidFill>
              <w14:schemeClr w14:val="tx1"/>
            </w14:solidFill>
          </w14:textFill>
        </w:rPr>
        <w:t>遇其他突发状况下的保供措施（如疫情等重大突发情况）；</w:t>
      </w:r>
      <w:r>
        <w:rPr>
          <w:rFonts w:ascii="仿宋" w:hAnsi="仿宋" w:eastAsia="仿宋" w:cs="仿宋"/>
          <w:color w:val="000000" w:themeColor="text1"/>
          <w:sz w:val="28"/>
          <w:szCs w:val="28"/>
          <w14:textFill>
            <w14:solidFill>
              <w14:schemeClr w14:val="tx1"/>
            </w14:solidFill>
          </w14:textFill>
        </w:rPr>
        <w:t>4</w:t>
      </w:r>
      <w:r>
        <w:rPr>
          <w:rFonts w:hint="eastAsia" w:ascii="仿宋" w:hAnsi="仿宋" w:eastAsia="仿宋" w:cs="仿宋"/>
          <w:color w:val="000000" w:themeColor="text1"/>
          <w:sz w:val="28"/>
          <w:szCs w:val="28"/>
          <w14:textFill>
            <w14:solidFill>
              <w14:schemeClr w14:val="tx1"/>
            </w14:solidFill>
          </w14:textFill>
        </w:rPr>
        <w:t>.</w:t>
      </w:r>
      <w:r>
        <w:rPr>
          <w:rFonts w:ascii="仿宋" w:hAnsi="仿宋" w:eastAsia="仿宋" w:cs="仿宋"/>
          <w:color w:val="000000" w:themeColor="text1"/>
          <w:sz w:val="28"/>
          <w:szCs w:val="28"/>
          <w14:textFill>
            <w14:solidFill>
              <w14:schemeClr w14:val="tx1"/>
            </w14:solidFill>
          </w14:textFill>
        </w:rPr>
        <w:t>日常退换货和临时性补货，2小时内</w:t>
      </w:r>
      <w:r>
        <w:rPr>
          <w:rFonts w:hint="eastAsia" w:ascii="仿宋" w:hAnsi="仿宋" w:eastAsia="仿宋" w:cs="仿宋"/>
          <w:color w:val="000000" w:themeColor="text1"/>
          <w:sz w:val="28"/>
          <w:szCs w:val="28"/>
          <w14:textFill>
            <w14:solidFill>
              <w14:schemeClr w14:val="tx1"/>
            </w14:solidFill>
          </w14:textFill>
        </w:rPr>
        <w:t>完成</w:t>
      </w:r>
      <w:r>
        <w:rPr>
          <w:rFonts w:ascii="仿宋" w:hAnsi="仿宋" w:eastAsia="仿宋" w:cs="仿宋"/>
          <w:color w:val="000000" w:themeColor="text1"/>
          <w:sz w:val="28"/>
          <w:szCs w:val="28"/>
          <w14:textFill>
            <w14:solidFill>
              <w14:schemeClr w14:val="tx1"/>
            </w14:solidFill>
          </w14:textFill>
        </w:rPr>
        <w:t>日常退换货和临时性补货</w:t>
      </w:r>
      <w:r>
        <w:rPr>
          <w:rFonts w:hint="eastAsia" w:ascii="仿宋" w:hAnsi="仿宋" w:eastAsia="仿宋" w:cs="仿宋"/>
          <w:color w:val="000000" w:themeColor="text1"/>
          <w:sz w:val="28"/>
          <w:szCs w:val="28"/>
          <w14:textFill>
            <w14:solidFill>
              <w14:schemeClr w14:val="tx1"/>
            </w14:solidFill>
          </w14:textFill>
        </w:rPr>
        <w:t>的</w:t>
      </w:r>
      <w:r>
        <w:rPr>
          <w:rFonts w:ascii="仿宋" w:hAnsi="仿宋" w:eastAsia="仿宋" w:cs="仿宋"/>
          <w:color w:val="000000" w:themeColor="text1"/>
          <w:sz w:val="28"/>
          <w:szCs w:val="28"/>
          <w14:textFill>
            <w14:solidFill>
              <w14:schemeClr w14:val="tx1"/>
            </w14:solidFill>
          </w14:textFill>
        </w:rPr>
        <w:t>承诺</w:t>
      </w:r>
      <w:r>
        <w:rPr>
          <w:rFonts w:hint="eastAsia" w:ascii="仿宋" w:hAnsi="仿宋" w:eastAsia="仿宋" w:cs="仿宋"/>
          <w:color w:val="000000" w:themeColor="text1"/>
          <w:sz w:val="28"/>
          <w:szCs w:val="28"/>
          <w14:textFill>
            <w14:solidFill>
              <w14:schemeClr w14:val="tx1"/>
            </w14:solidFill>
          </w14:textFill>
        </w:rPr>
        <w:t>。</w:t>
      </w:r>
    </w:p>
    <w:p w14:paraId="4A95DE23">
      <w:pPr>
        <w:spacing w:line="50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应急处理实施方案完善、细致，操作性强的得</w:t>
      </w:r>
      <w:r>
        <w:rPr>
          <w:rFonts w:ascii="仿宋" w:hAnsi="仿宋" w:eastAsia="仿宋" w:cs="仿宋"/>
          <w:color w:val="000000" w:themeColor="text1"/>
          <w:sz w:val="28"/>
          <w:szCs w:val="28"/>
          <w14:textFill>
            <w14:solidFill>
              <w14:schemeClr w14:val="tx1"/>
            </w14:solidFill>
          </w14:textFill>
        </w:rPr>
        <w:t>5</w:t>
      </w:r>
      <w:r>
        <w:rPr>
          <w:rFonts w:hint="eastAsia" w:ascii="仿宋" w:hAnsi="仿宋" w:eastAsia="仿宋" w:cs="仿宋"/>
          <w:color w:val="000000" w:themeColor="text1"/>
          <w:sz w:val="28"/>
          <w:szCs w:val="28"/>
          <w14:textFill>
            <w14:solidFill>
              <w14:schemeClr w14:val="tx1"/>
            </w14:solidFill>
          </w14:textFill>
        </w:rPr>
        <w:t>分；应急处理实施方案较完善、细致，操作性较强的得</w:t>
      </w:r>
      <w:r>
        <w:rPr>
          <w:rFonts w:ascii="仿宋" w:hAnsi="仿宋" w:eastAsia="仿宋" w:cs="仿宋"/>
          <w:color w:val="000000" w:themeColor="text1"/>
          <w:sz w:val="28"/>
          <w:szCs w:val="28"/>
          <w14:textFill>
            <w14:solidFill>
              <w14:schemeClr w14:val="tx1"/>
            </w14:solidFill>
          </w14:textFill>
        </w:rPr>
        <w:t>3</w:t>
      </w:r>
      <w:r>
        <w:rPr>
          <w:rFonts w:hint="eastAsia" w:ascii="仿宋" w:hAnsi="仿宋" w:eastAsia="仿宋" w:cs="仿宋"/>
          <w:color w:val="000000" w:themeColor="text1"/>
          <w:sz w:val="28"/>
          <w:szCs w:val="28"/>
          <w14:textFill>
            <w14:solidFill>
              <w14:schemeClr w14:val="tx1"/>
            </w14:solidFill>
          </w14:textFill>
        </w:rPr>
        <w:t>分；应急处理实施方案简单，有一定操作性的得</w:t>
      </w:r>
      <w:r>
        <w:rPr>
          <w:rFonts w:ascii="仿宋" w:hAnsi="仿宋" w:eastAsia="仿宋" w:cs="仿宋"/>
          <w:color w:val="000000" w:themeColor="text1"/>
          <w:sz w:val="28"/>
          <w:szCs w:val="28"/>
          <w14:textFill>
            <w14:solidFill>
              <w14:schemeClr w14:val="tx1"/>
            </w14:solidFill>
          </w14:textFill>
        </w:rPr>
        <w:t>2</w:t>
      </w:r>
      <w:r>
        <w:rPr>
          <w:rFonts w:hint="eastAsia" w:ascii="仿宋" w:hAnsi="仿宋" w:eastAsia="仿宋" w:cs="仿宋"/>
          <w:color w:val="000000" w:themeColor="text1"/>
          <w:sz w:val="28"/>
          <w:szCs w:val="28"/>
          <w14:textFill>
            <w14:solidFill>
              <w14:schemeClr w14:val="tx1"/>
            </w14:solidFill>
          </w14:textFill>
        </w:rPr>
        <w:t>分；应急处理实施方案内容欠缺，操作性较差的得1分；不提供</w:t>
      </w:r>
      <w:r>
        <w:rPr>
          <w:rFonts w:ascii="仿宋" w:hAnsi="仿宋" w:eastAsia="仿宋" w:cs="仿宋"/>
          <w:color w:val="000000" w:themeColor="text1"/>
          <w:sz w:val="28"/>
          <w:szCs w:val="28"/>
          <w14:textFill>
            <w14:solidFill>
              <w14:schemeClr w14:val="tx1"/>
            </w14:solidFill>
          </w14:textFill>
        </w:rPr>
        <w:t>不得分。</w:t>
      </w:r>
    </w:p>
    <w:p w14:paraId="7277CEE3">
      <w:pPr>
        <w:spacing w:line="50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（十一）个性化及增值服务（3分）</w:t>
      </w:r>
    </w:p>
    <w:p w14:paraId="7948C310">
      <w:pPr>
        <w:spacing w:line="50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提供专为学校定制的个性化和增值服务方案，需详细描述个性化和增值服务的特色内容、实施方式、服务承诺和优惠措施等。个性化和增值服务方案的可行性、可操作性强得3</w:t>
      </w:r>
      <w:r>
        <w:rPr>
          <w:rFonts w:ascii="仿宋" w:hAnsi="仿宋" w:eastAsia="仿宋" w:cs="仿宋"/>
          <w:color w:val="000000" w:themeColor="text1"/>
          <w:sz w:val="28"/>
          <w:szCs w:val="28"/>
          <w14:textFill>
            <w14:solidFill>
              <w14:schemeClr w14:val="tx1"/>
            </w14:solidFill>
          </w14:textFill>
        </w:rPr>
        <w:t>分</w:t>
      </w:r>
      <w:r>
        <w:rPr>
          <w:rFonts w:hint="eastAsia" w:ascii="仿宋" w:hAnsi="仿宋" w:eastAsia="仿宋" w:cs="仿宋"/>
          <w:color w:val="000000" w:themeColor="text1"/>
          <w:sz w:val="28"/>
          <w:szCs w:val="28"/>
          <w14:textFill>
            <w14:solidFill>
              <w14:schemeClr w14:val="tx1"/>
            </w14:solidFill>
          </w14:textFill>
        </w:rPr>
        <w:t>；</w:t>
      </w:r>
      <w:r>
        <w:rPr>
          <w:rFonts w:ascii="仿宋" w:hAnsi="仿宋" w:eastAsia="仿宋" w:cs="仿宋"/>
          <w:color w:val="000000" w:themeColor="text1"/>
          <w:sz w:val="28"/>
          <w:szCs w:val="28"/>
          <w14:textFill>
            <w14:solidFill>
              <w14:schemeClr w14:val="tx1"/>
            </w14:solidFill>
          </w14:textFill>
        </w:rPr>
        <w:t>个性化和增值</w:t>
      </w:r>
      <w:r>
        <w:rPr>
          <w:rFonts w:hint="eastAsia" w:ascii="仿宋" w:hAnsi="仿宋" w:eastAsia="仿宋" w:cs="仿宋"/>
          <w:color w:val="000000" w:themeColor="text1"/>
          <w:sz w:val="28"/>
          <w:szCs w:val="28"/>
          <w14:textFill>
            <w14:solidFill>
              <w14:schemeClr w14:val="tx1"/>
            </w14:solidFill>
          </w14:textFill>
        </w:rPr>
        <w:t>服务方案的可行性、可操作性较强得2</w:t>
      </w:r>
      <w:r>
        <w:rPr>
          <w:rFonts w:ascii="仿宋" w:hAnsi="仿宋" w:eastAsia="仿宋" w:cs="仿宋"/>
          <w:color w:val="000000" w:themeColor="text1"/>
          <w:sz w:val="28"/>
          <w:szCs w:val="28"/>
          <w14:textFill>
            <w14:solidFill>
              <w14:schemeClr w14:val="tx1"/>
            </w14:solidFill>
          </w14:textFill>
        </w:rPr>
        <w:t>分</w:t>
      </w:r>
      <w:r>
        <w:rPr>
          <w:rFonts w:hint="eastAsia" w:ascii="仿宋" w:hAnsi="仿宋" w:eastAsia="仿宋" w:cs="仿宋"/>
          <w:color w:val="000000" w:themeColor="text1"/>
          <w:sz w:val="28"/>
          <w:szCs w:val="28"/>
          <w14:textFill>
            <w14:solidFill>
              <w14:schemeClr w14:val="tx1"/>
            </w14:solidFill>
          </w14:textFill>
        </w:rPr>
        <w:t>；</w:t>
      </w:r>
      <w:r>
        <w:rPr>
          <w:rFonts w:ascii="仿宋" w:hAnsi="仿宋" w:eastAsia="仿宋" w:cs="仿宋"/>
          <w:color w:val="000000" w:themeColor="text1"/>
          <w:sz w:val="28"/>
          <w:szCs w:val="28"/>
          <w14:textFill>
            <w14:solidFill>
              <w14:schemeClr w14:val="tx1"/>
            </w14:solidFill>
          </w14:textFill>
        </w:rPr>
        <w:t>个性化</w:t>
      </w:r>
      <w:r>
        <w:rPr>
          <w:rFonts w:hint="eastAsia" w:ascii="仿宋" w:hAnsi="仿宋" w:eastAsia="仿宋" w:cs="仿宋"/>
          <w:color w:val="000000" w:themeColor="text1"/>
          <w:sz w:val="28"/>
          <w:szCs w:val="28"/>
          <w14:textFill>
            <w14:solidFill>
              <w14:schemeClr w14:val="tx1"/>
            </w14:solidFill>
          </w14:textFill>
        </w:rPr>
        <w:t>和增值服务方案的可行性、可操作性一般得1</w:t>
      </w:r>
      <w:r>
        <w:rPr>
          <w:rFonts w:ascii="仿宋" w:hAnsi="仿宋" w:eastAsia="仿宋" w:cs="仿宋"/>
          <w:color w:val="000000" w:themeColor="text1"/>
          <w:sz w:val="28"/>
          <w:szCs w:val="28"/>
          <w14:textFill>
            <w14:solidFill>
              <w14:schemeClr w14:val="tx1"/>
            </w14:solidFill>
          </w14:textFill>
        </w:rPr>
        <w:t>分</w:t>
      </w:r>
      <w:r>
        <w:rPr>
          <w:rFonts w:hint="eastAsia" w:ascii="仿宋" w:hAnsi="仿宋" w:eastAsia="仿宋" w:cs="仿宋"/>
          <w:color w:val="000000" w:themeColor="text1"/>
          <w:sz w:val="28"/>
          <w:szCs w:val="28"/>
          <w14:textFill>
            <w14:solidFill>
              <w14:schemeClr w14:val="tx1"/>
            </w14:solidFill>
          </w14:textFill>
        </w:rPr>
        <w:t>。不提供不得分。</w:t>
      </w:r>
    </w:p>
    <w:bookmarkEnd w:id="3"/>
    <w:p w14:paraId="23BDCA0D">
      <w:pPr>
        <w:spacing w:line="500" w:lineRule="exact"/>
        <w:ind w:firstLine="560" w:firstLineChars="200"/>
        <w:rPr>
          <w:rFonts w:ascii="仿宋" w:hAnsi="仿宋" w:eastAsia="仿宋" w:cs="仿宋"/>
          <w:color w:val="000000" w:themeColor="text1"/>
          <w:sz w:val="28"/>
          <w:szCs w:val="28"/>
          <w14:textFill>
            <w14:solidFill>
              <w14:schemeClr w14:val="tx1"/>
            </w14:solidFill>
          </w14:textFill>
        </w:rPr>
      </w:pPr>
    </w:p>
    <w:p w14:paraId="7FB6232E">
      <w:pPr>
        <w:spacing w:line="500" w:lineRule="exact"/>
        <w:ind w:firstLine="560" w:firstLineChars="200"/>
        <w:rPr>
          <w:rFonts w:ascii="仿宋" w:hAnsi="仿宋" w:eastAsia="仿宋" w:cs="仿宋"/>
          <w:color w:val="000000" w:themeColor="text1"/>
          <w:sz w:val="28"/>
          <w:szCs w:val="28"/>
          <w14:textFill>
            <w14:solidFill>
              <w14:schemeClr w14:val="tx1"/>
            </w14:solidFill>
          </w14:textFill>
        </w:rPr>
      </w:pPr>
    </w:p>
    <w:p w14:paraId="42409E42">
      <w:pPr>
        <w:spacing w:line="500" w:lineRule="exact"/>
        <w:ind w:firstLine="560" w:firstLineChars="200"/>
        <w:rPr>
          <w:rFonts w:ascii="仿宋" w:hAnsi="仿宋" w:eastAsia="仿宋" w:cs="仿宋"/>
          <w:color w:val="000000" w:themeColor="text1"/>
          <w:sz w:val="28"/>
          <w:szCs w:val="28"/>
          <w14:textFill>
            <w14:solidFill>
              <w14:schemeClr w14:val="tx1"/>
            </w14:solidFill>
          </w14:textFill>
        </w:rPr>
      </w:pPr>
    </w:p>
    <w:p w14:paraId="4258256A">
      <w:pPr>
        <w:spacing w:line="500" w:lineRule="exact"/>
        <w:ind w:firstLine="560" w:firstLineChars="200"/>
        <w:rPr>
          <w:rFonts w:ascii="仿宋" w:hAnsi="仿宋" w:eastAsia="仿宋" w:cs="仿宋"/>
          <w:color w:val="FF0000"/>
          <w:sz w:val="28"/>
          <w:szCs w:val="28"/>
        </w:rPr>
      </w:pPr>
    </w:p>
    <w:p w14:paraId="008503A7">
      <w:pPr>
        <w:spacing w:line="500" w:lineRule="exact"/>
        <w:ind w:firstLine="560" w:firstLineChars="200"/>
        <w:rPr>
          <w:rFonts w:ascii="仿宋" w:hAnsi="仿宋" w:eastAsia="仿宋" w:cs="仿宋"/>
          <w:color w:val="FF0000"/>
          <w:sz w:val="28"/>
          <w:szCs w:val="28"/>
        </w:rPr>
      </w:pPr>
    </w:p>
    <w:p w14:paraId="67C1C45E">
      <w:pPr>
        <w:spacing w:line="500" w:lineRule="exact"/>
        <w:ind w:firstLine="560" w:firstLineChars="200"/>
        <w:rPr>
          <w:rFonts w:ascii="仿宋" w:hAnsi="仿宋" w:eastAsia="仿宋" w:cs="仿宋"/>
          <w:color w:val="FF0000"/>
          <w:sz w:val="28"/>
          <w:szCs w:val="28"/>
        </w:rPr>
      </w:pPr>
    </w:p>
    <w:p w14:paraId="34D7DC46">
      <w:pPr>
        <w:spacing w:line="500" w:lineRule="exact"/>
        <w:ind w:firstLine="560" w:firstLineChars="200"/>
        <w:rPr>
          <w:rFonts w:ascii="仿宋" w:hAnsi="仿宋" w:eastAsia="仿宋" w:cs="仿宋"/>
          <w:color w:val="FF0000"/>
          <w:sz w:val="28"/>
          <w:szCs w:val="28"/>
        </w:rPr>
      </w:pPr>
    </w:p>
    <w:p w14:paraId="6697946E">
      <w:pPr>
        <w:spacing w:line="500" w:lineRule="exact"/>
        <w:ind w:firstLine="560" w:firstLineChars="200"/>
        <w:rPr>
          <w:rFonts w:ascii="仿宋" w:hAnsi="仿宋" w:eastAsia="仿宋" w:cs="仿宋"/>
          <w:color w:val="FF0000"/>
          <w:sz w:val="28"/>
          <w:szCs w:val="28"/>
        </w:rPr>
      </w:pPr>
    </w:p>
    <w:p w14:paraId="31BB5382">
      <w:pPr>
        <w:spacing w:line="500" w:lineRule="exact"/>
        <w:ind w:firstLine="560" w:firstLineChars="200"/>
        <w:rPr>
          <w:rFonts w:ascii="仿宋" w:hAnsi="仿宋" w:eastAsia="仿宋" w:cs="仿宋"/>
          <w:color w:val="FF0000"/>
          <w:sz w:val="28"/>
          <w:szCs w:val="28"/>
        </w:rPr>
      </w:pPr>
    </w:p>
    <w:p w14:paraId="03DF16DB">
      <w:pPr>
        <w:spacing w:line="500" w:lineRule="exact"/>
        <w:ind w:firstLine="560" w:firstLineChars="200"/>
        <w:rPr>
          <w:rFonts w:ascii="仿宋" w:hAnsi="仿宋" w:eastAsia="仿宋" w:cs="仿宋"/>
          <w:color w:val="FF0000"/>
          <w:sz w:val="28"/>
          <w:szCs w:val="28"/>
        </w:rPr>
      </w:pPr>
    </w:p>
    <w:p w14:paraId="65E3A91C">
      <w:pPr>
        <w:spacing w:line="500" w:lineRule="exact"/>
        <w:ind w:firstLine="560" w:firstLineChars="200"/>
        <w:rPr>
          <w:rFonts w:ascii="仿宋" w:hAnsi="仿宋" w:eastAsia="仿宋" w:cs="仿宋"/>
          <w:color w:val="FF0000"/>
          <w:sz w:val="28"/>
          <w:szCs w:val="28"/>
        </w:rPr>
      </w:pPr>
    </w:p>
    <w:p w14:paraId="24A1F9B6">
      <w:pPr>
        <w:spacing w:line="500" w:lineRule="exact"/>
        <w:ind w:firstLine="560" w:firstLineChars="200"/>
        <w:rPr>
          <w:rFonts w:ascii="仿宋" w:hAnsi="仿宋" w:eastAsia="仿宋" w:cs="仿宋"/>
          <w:color w:val="FF0000"/>
          <w:sz w:val="28"/>
          <w:szCs w:val="28"/>
        </w:rPr>
      </w:pPr>
    </w:p>
    <w:p w14:paraId="06AC0E61">
      <w:pPr>
        <w:spacing w:line="500" w:lineRule="exact"/>
        <w:ind w:firstLine="560" w:firstLineChars="200"/>
        <w:rPr>
          <w:rFonts w:ascii="仿宋" w:hAnsi="仿宋" w:eastAsia="仿宋" w:cs="仿宋"/>
          <w:color w:val="FF0000"/>
          <w:sz w:val="28"/>
          <w:szCs w:val="28"/>
        </w:rPr>
      </w:pPr>
    </w:p>
    <w:p w14:paraId="31DE251F">
      <w:pPr>
        <w:spacing w:line="500" w:lineRule="exact"/>
        <w:ind w:firstLine="560" w:firstLineChars="200"/>
        <w:rPr>
          <w:rFonts w:ascii="仿宋" w:hAnsi="仿宋" w:eastAsia="仿宋" w:cs="仿宋"/>
          <w:color w:val="FF0000"/>
          <w:sz w:val="28"/>
          <w:szCs w:val="28"/>
        </w:rPr>
      </w:pPr>
    </w:p>
    <w:p w14:paraId="4D4CA3C1">
      <w:pPr>
        <w:spacing w:line="500" w:lineRule="exact"/>
        <w:ind w:firstLine="560" w:firstLineChars="200"/>
        <w:rPr>
          <w:rFonts w:ascii="仿宋" w:hAnsi="仿宋" w:eastAsia="仿宋" w:cs="仿宋"/>
          <w:color w:val="FF0000"/>
          <w:sz w:val="28"/>
          <w:szCs w:val="28"/>
        </w:rPr>
      </w:pPr>
    </w:p>
    <w:p w14:paraId="103E6162">
      <w:pPr>
        <w:spacing w:line="500" w:lineRule="exact"/>
        <w:ind w:firstLine="560" w:firstLineChars="200"/>
        <w:rPr>
          <w:rFonts w:ascii="仿宋" w:hAnsi="仿宋" w:eastAsia="仿宋" w:cs="仿宋"/>
          <w:color w:val="FF0000"/>
          <w:sz w:val="28"/>
          <w:szCs w:val="28"/>
        </w:rPr>
      </w:pPr>
    </w:p>
    <w:p w14:paraId="33B620A5">
      <w:pPr>
        <w:spacing w:line="500" w:lineRule="exact"/>
        <w:ind w:firstLine="560" w:firstLineChars="200"/>
        <w:rPr>
          <w:rFonts w:ascii="仿宋" w:hAnsi="仿宋" w:eastAsia="仿宋" w:cs="仿宋"/>
          <w:color w:val="FF0000"/>
          <w:sz w:val="28"/>
          <w:szCs w:val="28"/>
        </w:rPr>
      </w:pPr>
    </w:p>
    <w:p w14:paraId="781D7589">
      <w:pPr>
        <w:spacing w:line="500" w:lineRule="exact"/>
        <w:ind w:firstLine="560" w:firstLineChars="200"/>
        <w:rPr>
          <w:rFonts w:ascii="仿宋" w:hAnsi="仿宋" w:eastAsia="仿宋" w:cs="仿宋"/>
          <w:color w:val="FF0000"/>
          <w:sz w:val="28"/>
          <w:szCs w:val="28"/>
        </w:rPr>
      </w:pPr>
    </w:p>
    <w:p w14:paraId="4A53858C">
      <w:pPr>
        <w:spacing w:line="500" w:lineRule="exact"/>
        <w:ind w:firstLine="560" w:firstLineChars="200"/>
        <w:rPr>
          <w:rFonts w:ascii="仿宋" w:hAnsi="仿宋" w:eastAsia="仿宋" w:cs="仿宋"/>
          <w:color w:val="FF0000"/>
          <w:sz w:val="28"/>
          <w:szCs w:val="28"/>
        </w:rPr>
      </w:pPr>
    </w:p>
    <w:p w14:paraId="3D6BA1A7">
      <w:pPr>
        <w:spacing w:line="500" w:lineRule="exact"/>
        <w:ind w:firstLine="560" w:firstLineChars="200"/>
        <w:rPr>
          <w:rFonts w:ascii="仿宋" w:hAnsi="仿宋" w:eastAsia="仿宋" w:cs="仿宋"/>
          <w:color w:val="FF0000"/>
          <w:sz w:val="28"/>
          <w:szCs w:val="28"/>
        </w:rPr>
      </w:pPr>
    </w:p>
    <w:p w14:paraId="67726AFD">
      <w:pPr>
        <w:spacing w:line="500" w:lineRule="exact"/>
        <w:ind w:firstLine="560" w:firstLineChars="200"/>
        <w:rPr>
          <w:rFonts w:ascii="仿宋" w:hAnsi="仿宋" w:eastAsia="仿宋" w:cs="仿宋"/>
          <w:color w:val="FF0000"/>
          <w:sz w:val="28"/>
          <w:szCs w:val="28"/>
        </w:rPr>
      </w:pPr>
    </w:p>
    <w:p w14:paraId="4DC31B7D">
      <w:pPr>
        <w:spacing w:line="500" w:lineRule="exact"/>
        <w:ind w:firstLine="560" w:firstLineChars="200"/>
        <w:rPr>
          <w:rFonts w:ascii="仿宋" w:hAnsi="仿宋" w:eastAsia="仿宋" w:cs="仿宋"/>
          <w:color w:val="FF0000"/>
          <w:sz w:val="28"/>
          <w:szCs w:val="28"/>
        </w:rPr>
      </w:pPr>
    </w:p>
    <w:p w14:paraId="6536ECA0">
      <w:pPr>
        <w:spacing w:line="500" w:lineRule="exact"/>
        <w:ind w:firstLine="560" w:firstLineChars="200"/>
        <w:rPr>
          <w:rFonts w:ascii="仿宋" w:hAnsi="仿宋" w:eastAsia="仿宋" w:cs="仿宋"/>
          <w:color w:val="FF0000"/>
          <w:sz w:val="28"/>
          <w:szCs w:val="28"/>
        </w:rPr>
      </w:pPr>
    </w:p>
    <w:p w14:paraId="4ACA8681">
      <w:pPr>
        <w:spacing w:line="500" w:lineRule="exact"/>
        <w:jc w:val="center"/>
        <w:rPr>
          <w:rFonts w:ascii="方正小标宋_GBK" w:hAnsi="等线" w:eastAsia="方正小标宋_GBK" w:cs="Times New Roman"/>
          <w:sz w:val="32"/>
          <w:szCs w:val="32"/>
        </w:rPr>
      </w:pPr>
      <w:r>
        <w:rPr>
          <w:rFonts w:hint="eastAsia" w:ascii="方正小标宋_GBK" w:hAnsi="等线" w:eastAsia="方正小标宋_GBK" w:cs="Times New Roman"/>
          <w:sz w:val="32"/>
          <w:szCs w:val="32"/>
        </w:rPr>
        <w:t>2026-2027年度苏州大学食堂伙食物资供应商评分标准</w:t>
      </w:r>
    </w:p>
    <w:p w14:paraId="5696ED43">
      <w:pPr>
        <w:spacing w:line="500" w:lineRule="exact"/>
        <w:jc w:val="center"/>
        <w:rPr>
          <w:rFonts w:ascii="黑体" w:hAnsi="黑体" w:eastAsia="黑体" w:cs="Times New Roman"/>
          <w:sz w:val="28"/>
          <w:szCs w:val="28"/>
        </w:rPr>
      </w:pPr>
      <w:r>
        <w:rPr>
          <w:rFonts w:hint="eastAsia" w:ascii="黑体" w:hAnsi="黑体" w:eastAsia="黑体" w:cs="Times New Roman"/>
          <w:sz w:val="28"/>
          <w:szCs w:val="28"/>
        </w:rPr>
        <w:t>（适用于标段2：豆制品）</w:t>
      </w:r>
    </w:p>
    <w:p w14:paraId="7718FA7A">
      <w:pPr>
        <w:spacing w:line="500" w:lineRule="exact"/>
        <w:ind w:firstLine="560" w:firstLineChars="200"/>
        <w:rPr>
          <w:rFonts w:ascii="仿宋" w:hAnsi="仿宋" w:eastAsia="仿宋" w:cs="仿宋"/>
          <w:sz w:val="28"/>
          <w:szCs w:val="28"/>
        </w:rPr>
      </w:pPr>
      <w:r>
        <w:rPr>
          <w:rFonts w:hint="eastAsia" w:ascii="仿宋" w:hAnsi="仿宋" w:eastAsia="仿宋" w:cs="仿宋"/>
          <w:bCs/>
          <w:color w:val="000000"/>
          <w:kern w:val="0"/>
          <w:sz w:val="28"/>
          <w:szCs w:val="28"/>
        </w:rPr>
        <w:t>本次招标采用综合评分法，总分为100分，具体内容如下：</w:t>
      </w:r>
    </w:p>
    <w:p w14:paraId="144E240B">
      <w:pPr>
        <w:spacing w:line="500" w:lineRule="exact"/>
        <w:ind w:firstLine="280" w:firstLineChars="100"/>
        <w:rPr>
          <w:rFonts w:ascii="仿宋" w:hAnsi="仿宋" w:eastAsia="仿宋" w:cs="仿宋"/>
          <w:sz w:val="28"/>
          <w:szCs w:val="28"/>
        </w:rPr>
      </w:pPr>
      <w:r>
        <w:rPr>
          <w:rFonts w:hint="eastAsia" w:ascii="仿宋" w:hAnsi="仿宋" w:eastAsia="仿宋" w:cs="仿宋"/>
          <w:bCs/>
          <w:sz w:val="28"/>
          <w:szCs w:val="28"/>
        </w:rPr>
        <w:t>（一）</w:t>
      </w:r>
      <w:r>
        <w:rPr>
          <w:rFonts w:hint="eastAsia" w:ascii="仿宋" w:hAnsi="仿宋" w:eastAsia="仿宋" w:cs="仿宋"/>
          <w:sz w:val="28"/>
          <w:szCs w:val="28"/>
        </w:rPr>
        <w:t>价格分 （35分）</w:t>
      </w:r>
    </w:p>
    <w:p w14:paraId="14C96814">
      <w:pPr>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1.价格分采用低价优先法计算，即在所有投标单位标的物清单各项明细报价中选择</w:t>
      </w:r>
      <w:r>
        <w:rPr>
          <w:rFonts w:hint="eastAsia" w:ascii="仿宋" w:hAnsi="仿宋" w:eastAsia="仿宋" w:cs="仿宋"/>
          <w:b/>
          <w:bCs/>
          <w:sz w:val="28"/>
          <w:szCs w:val="28"/>
        </w:rPr>
        <w:t>最低的报价</w:t>
      </w:r>
      <w:r>
        <w:rPr>
          <w:rFonts w:hint="eastAsia" w:ascii="仿宋" w:hAnsi="仿宋" w:eastAsia="仿宋" w:cs="仿宋"/>
          <w:sz w:val="28"/>
          <w:szCs w:val="28"/>
        </w:rPr>
        <w:t>确定为该项明细报价的基准报价。</w:t>
      </w:r>
    </w:p>
    <w:p w14:paraId="0DAA95F2">
      <w:pPr>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2.将该项明细项所有合格投标人报价与该明细项的基准报价相比较：等于基准报价的该项明细得满分，其他投标人的该项明细价格分按照下列公式计算（计算结果四舍五入保留两位小数）：</w:t>
      </w:r>
      <w:r>
        <w:rPr>
          <w:rFonts w:hint="eastAsia" w:ascii="仿宋" w:hAnsi="仿宋" w:eastAsia="仿宋" w:cs="仿宋"/>
          <w:b/>
          <w:bCs/>
          <w:sz w:val="28"/>
          <w:szCs w:val="28"/>
        </w:rPr>
        <w:t>明细项投标报价得分=(明细项基准报价/明细项投标报价)*35%*100</w:t>
      </w:r>
    </w:p>
    <w:p w14:paraId="64470DC0">
      <w:pPr>
        <w:spacing w:line="500" w:lineRule="exact"/>
        <w:ind w:firstLine="562" w:firstLineChars="200"/>
        <w:rPr>
          <w:rFonts w:ascii="仿宋" w:hAnsi="仿宋" w:eastAsia="仿宋" w:cs="仿宋"/>
          <w:sz w:val="28"/>
          <w:szCs w:val="28"/>
        </w:rPr>
      </w:pPr>
      <w:r>
        <w:rPr>
          <w:rFonts w:hint="eastAsia" w:ascii="仿宋" w:hAnsi="仿宋" w:eastAsia="仿宋" w:cs="仿宋"/>
          <w:b/>
          <w:bCs/>
          <w:sz w:val="28"/>
          <w:szCs w:val="28"/>
        </w:rPr>
        <w:t>3.各投标人投标报价得分＝各明细项投标报价得分汇总/明细项目总个数</w:t>
      </w:r>
    </w:p>
    <w:p w14:paraId="14E7585E">
      <w:pPr>
        <w:snapToGrid w:val="0"/>
        <w:spacing w:line="500" w:lineRule="exact"/>
        <w:ind w:firstLine="562" w:firstLineChars="200"/>
        <w:rPr>
          <w:rFonts w:ascii="仿宋" w:hAnsi="仿宋" w:eastAsia="仿宋" w:cs="仿宋"/>
          <w:b/>
          <w:bCs/>
          <w:color w:val="FF0000"/>
          <w:kern w:val="0"/>
          <w:sz w:val="28"/>
          <w:szCs w:val="28"/>
        </w:rPr>
      </w:pPr>
      <w:r>
        <w:rPr>
          <w:rFonts w:hint="eastAsia" w:ascii="仿宋" w:hAnsi="仿宋" w:eastAsia="仿宋" w:cs="仿宋"/>
          <w:b/>
          <w:bCs/>
          <w:color w:val="FF0000"/>
          <w:kern w:val="0"/>
          <w:sz w:val="28"/>
          <w:szCs w:val="28"/>
        </w:rPr>
        <w:t>（1）开标后五分钟内，须将投标报价表（Excel格式），通过电子邮件发送至xnchen@suda.edu.cn。</w:t>
      </w:r>
    </w:p>
    <w:p w14:paraId="0A35CAEB">
      <w:pPr>
        <w:spacing w:line="500" w:lineRule="exact"/>
        <w:ind w:firstLine="562" w:firstLineChars="200"/>
        <w:rPr>
          <w:rFonts w:ascii="仿宋" w:hAnsi="仿宋" w:eastAsia="仿宋" w:cs="仿宋"/>
          <w:b/>
          <w:bCs/>
          <w:color w:val="FF0000"/>
          <w:kern w:val="0"/>
          <w:sz w:val="28"/>
          <w:szCs w:val="28"/>
        </w:rPr>
      </w:pPr>
      <w:r>
        <w:rPr>
          <w:rFonts w:hint="eastAsia" w:ascii="仿宋" w:hAnsi="仿宋" w:eastAsia="仿宋" w:cs="仿宋"/>
          <w:b/>
          <w:bCs/>
          <w:color w:val="FF0000"/>
          <w:kern w:val="0"/>
          <w:sz w:val="28"/>
          <w:szCs w:val="28"/>
        </w:rPr>
        <w:t>（2）投标报价表不得作任何变更，出现以下情形之一的，均按无效投标处理：</w:t>
      </w:r>
    </w:p>
    <w:p w14:paraId="4CB658C3">
      <w:pPr>
        <w:spacing w:line="500" w:lineRule="exact"/>
        <w:ind w:firstLine="562" w:firstLineChars="200"/>
        <w:rPr>
          <w:rFonts w:ascii="仿宋" w:hAnsi="仿宋" w:eastAsia="仿宋" w:cs="仿宋"/>
          <w:b/>
          <w:bCs/>
          <w:color w:val="FF0000"/>
          <w:kern w:val="0"/>
          <w:sz w:val="28"/>
          <w:szCs w:val="28"/>
        </w:rPr>
      </w:pPr>
      <w:r>
        <w:rPr>
          <w:rFonts w:hint="eastAsia" w:ascii="仿宋" w:hAnsi="仿宋" w:eastAsia="仿宋" w:cs="仿宋"/>
          <w:b/>
          <w:bCs/>
          <w:color w:val="FF0000"/>
          <w:kern w:val="0"/>
          <w:sz w:val="28"/>
          <w:szCs w:val="28"/>
        </w:rPr>
        <w:t>①调整明细内容及顺序；</w:t>
      </w:r>
    </w:p>
    <w:p w14:paraId="0A77FDF2">
      <w:pPr>
        <w:spacing w:line="500" w:lineRule="exact"/>
        <w:ind w:firstLine="562" w:firstLineChars="200"/>
        <w:rPr>
          <w:rFonts w:ascii="仿宋" w:hAnsi="仿宋" w:eastAsia="仿宋" w:cs="仿宋"/>
          <w:b/>
          <w:bCs/>
          <w:color w:val="FF0000"/>
          <w:kern w:val="0"/>
          <w:sz w:val="28"/>
          <w:szCs w:val="28"/>
        </w:rPr>
      </w:pPr>
      <w:r>
        <w:rPr>
          <w:rFonts w:hint="eastAsia" w:ascii="仿宋" w:hAnsi="仿宋" w:eastAsia="仿宋" w:cs="仿宋"/>
          <w:b/>
          <w:bCs/>
          <w:color w:val="FF0000"/>
          <w:kern w:val="0"/>
          <w:sz w:val="28"/>
          <w:szCs w:val="28"/>
        </w:rPr>
        <w:t>②少报、漏报；</w:t>
      </w:r>
    </w:p>
    <w:p w14:paraId="3855DCDE">
      <w:pPr>
        <w:spacing w:line="500" w:lineRule="exact"/>
        <w:ind w:firstLine="562" w:firstLineChars="200"/>
        <w:rPr>
          <w:rFonts w:ascii="仿宋" w:hAnsi="仿宋" w:eastAsia="仿宋" w:cs="仿宋"/>
          <w:b/>
          <w:bCs/>
          <w:sz w:val="28"/>
          <w:szCs w:val="28"/>
        </w:rPr>
      </w:pPr>
      <w:r>
        <w:rPr>
          <w:rFonts w:hint="eastAsia" w:ascii="仿宋" w:hAnsi="仿宋" w:eastAsia="仿宋" w:cs="仿宋"/>
          <w:b/>
          <w:bCs/>
          <w:color w:val="FF0000"/>
          <w:kern w:val="0"/>
          <w:sz w:val="28"/>
          <w:szCs w:val="28"/>
        </w:rPr>
        <w:t>③未按报价文件格式要求报价的其他情形。</w:t>
      </w:r>
    </w:p>
    <w:p w14:paraId="51071414">
      <w:pPr>
        <w:spacing w:line="50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注：评标委员会认为投标单位的报价明显不合理或者低于成本，有可能影响产品质量或不能诚信履约的，投标单位须在30分钟内提供书面文件予以解释说明，并提交相关证明材料；投标单位不能证明其报价合理性的，评标委员会将其作为无效投标处理。</w:t>
      </w:r>
    </w:p>
    <w:p w14:paraId="179A1E88">
      <w:pPr>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（二）品牌认可度（3分）</w:t>
      </w:r>
    </w:p>
    <w:p w14:paraId="0E920407">
      <w:pPr>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所投产品的品牌认可度高，优于项目采购需求的，得3分；品牌认可度较高，较能满足项目采购需求的，得2分；品牌认可度一般，基本满足项目采购需求的，得1分。</w:t>
      </w:r>
    </w:p>
    <w:p w14:paraId="12B13200">
      <w:pPr>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（三）采购渠道（3分）</w:t>
      </w:r>
    </w:p>
    <w:p w14:paraId="32D7D8FB">
      <w:pPr>
        <w:spacing w:line="50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投标单位所投产品的原材料有保障、品质好，所投产品由投标单位生产，产品质量佳的，得3分；原材料有保障、品质较好，所投产品由投标单位生产，产品质量较佳的，得2分；原材料品质有保障，所投产品非投标单位生产，产品质量可靠的，得1分。不满足该项要求或不提供不得分。</w:t>
      </w:r>
    </w:p>
    <w:p w14:paraId="1DABEAC1">
      <w:pPr>
        <w:spacing w:line="500" w:lineRule="exact"/>
        <w:ind w:firstLine="562"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注：</w:t>
      </w:r>
      <w:r>
        <w:rPr>
          <w:rFonts w:hint="eastAsia" w:ascii="仿宋" w:hAnsi="仿宋" w:eastAsia="仿宋" w:cs="仿宋"/>
          <w:b/>
          <w:bCs/>
          <w:color w:val="000000" w:themeColor="text1"/>
          <w:kern w:val="0"/>
          <w:sz w:val="28"/>
          <w:szCs w:val="28"/>
          <w14:textFill>
            <w14:solidFill>
              <w14:schemeClr w14:val="tx1"/>
            </w14:solidFill>
          </w14:textFill>
        </w:rPr>
        <w:t>须提供相关证明材料复印件。</w:t>
      </w:r>
    </w:p>
    <w:p w14:paraId="6759B239">
      <w:pPr>
        <w:spacing w:line="50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（四）企业认证证书及获奖证书（5分）</w:t>
      </w:r>
    </w:p>
    <w:p w14:paraId="771712D0">
      <w:pPr>
        <w:spacing w:line="500" w:lineRule="exact"/>
        <w:ind w:firstLine="560" w:firstLineChars="200"/>
        <w:rPr>
          <w:rFonts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w:t>
      </w:r>
      <w:r>
        <w:rPr>
          <w:rFonts w:hint="eastAsia" w:ascii="仿宋" w:hAnsi="仿宋" w:eastAsia="仿宋" w:cs="仿宋"/>
          <w:color w:val="000000" w:themeColor="text1"/>
          <w:kern w:val="0"/>
          <w:sz w:val="28"/>
          <w:szCs w:val="28"/>
          <w14:textFill>
            <w14:solidFill>
              <w14:schemeClr w14:val="tx1"/>
            </w14:solidFill>
          </w14:textFill>
        </w:rPr>
        <w:t>投标单位具有ISO9001质量管理体系认证证书、HACCP或ISO22000食品安全管理体系认证证书、ISO14000环境管理体系认证证书，每提供一项有效期内证书得1分，最高得3分。</w:t>
      </w:r>
    </w:p>
    <w:p w14:paraId="7E68EBAE">
      <w:pPr>
        <w:spacing w:line="500" w:lineRule="exact"/>
        <w:ind w:firstLine="560" w:firstLineChars="200"/>
        <w:rPr>
          <w:rFonts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注：</w:t>
      </w:r>
      <w:r>
        <w:rPr>
          <w:rFonts w:hint="eastAsia" w:ascii="仿宋" w:hAnsi="仿宋" w:eastAsia="仿宋" w:cs="仿宋"/>
          <w:b/>
          <w:bCs/>
          <w:color w:val="000000" w:themeColor="text1"/>
          <w:sz w:val="28"/>
          <w:szCs w:val="28"/>
          <w14:textFill>
            <w14:solidFill>
              <w14:schemeClr w14:val="tx1"/>
            </w14:solidFill>
          </w14:textFill>
        </w:rPr>
        <w:t>须提供有效的证书复印件及国家认监委官网查询截图，否则不得分。</w:t>
      </w:r>
    </w:p>
    <w:p w14:paraId="4B39BB29">
      <w:pPr>
        <w:spacing w:line="50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2.2023年6月以来，所投产品或产品生产企业获得过国家级荣誉得2分；获得过省市级荣誉得1分（以最高荣誉计分，最高得2分）。</w:t>
      </w:r>
    </w:p>
    <w:p w14:paraId="00CDE8A5">
      <w:pPr>
        <w:spacing w:line="500" w:lineRule="exact"/>
        <w:ind w:firstLine="562" w:firstLineChars="200"/>
        <w:rPr>
          <w:rFonts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注：须提供有效的证书复印件或相关证明材料，否则不得分。</w:t>
      </w:r>
    </w:p>
    <w:p w14:paraId="76629FC3">
      <w:pPr>
        <w:spacing w:line="50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（五）服务业绩（20分）</w:t>
      </w:r>
    </w:p>
    <w:p w14:paraId="4097E0EB">
      <w:pPr>
        <w:spacing w:line="50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（1）根据投标单位提供的自2023年6月以来（以合同签订时间为准）与企事业单位的供货证明进行评定。</w:t>
      </w:r>
      <w:r>
        <w:rPr>
          <w:rFonts w:ascii="仿宋" w:hAnsi="仿宋" w:eastAsia="仿宋" w:cs="仿宋"/>
          <w:color w:val="000000" w:themeColor="text1"/>
          <w:sz w:val="28"/>
          <w:szCs w:val="28"/>
          <w14:textFill>
            <w14:solidFill>
              <w14:schemeClr w14:val="tx1"/>
            </w14:solidFill>
          </w14:textFill>
        </w:rPr>
        <w:t>①</w:t>
      </w:r>
      <w:r>
        <w:rPr>
          <w:rFonts w:hint="eastAsia" w:ascii="仿宋" w:hAnsi="仿宋" w:eastAsia="仿宋" w:cs="仿宋"/>
          <w:color w:val="000000" w:themeColor="text1"/>
          <w:sz w:val="28"/>
          <w:szCs w:val="28"/>
          <w14:textFill>
            <w14:solidFill>
              <w14:schemeClr w14:val="tx1"/>
            </w14:solidFill>
          </w14:textFill>
        </w:rPr>
        <w:t>每项业绩的合同实际履行时间必须一年及以上；②须提供完整合同复印件；③须提供标段产品的实际供货清单，包括所投标段的品类、全部或部分品种。每提供1份完整有效业绩得1</w:t>
      </w:r>
      <w:r>
        <w:rPr>
          <w:rFonts w:ascii="仿宋" w:hAnsi="仿宋" w:eastAsia="仿宋" w:cs="仿宋"/>
          <w:color w:val="000000" w:themeColor="text1"/>
          <w:sz w:val="28"/>
          <w:szCs w:val="28"/>
          <w14:textFill>
            <w14:solidFill>
              <w14:schemeClr w14:val="tx1"/>
            </w14:solidFill>
          </w14:textFill>
        </w:rPr>
        <w:t>分，</w:t>
      </w:r>
      <w:r>
        <w:rPr>
          <w:rFonts w:hint="eastAsia" w:ascii="仿宋" w:hAnsi="仿宋" w:eastAsia="仿宋" w:cs="仿宋"/>
          <w:color w:val="000000" w:themeColor="text1"/>
          <w:sz w:val="28"/>
          <w:szCs w:val="28"/>
          <w14:textFill>
            <w14:solidFill>
              <w14:schemeClr w14:val="tx1"/>
            </w14:solidFill>
          </w14:textFill>
        </w:rPr>
        <w:t>最高得12分。</w:t>
      </w:r>
    </w:p>
    <w:p w14:paraId="1D9C7E1A">
      <w:pPr>
        <w:spacing w:line="500" w:lineRule="exact"/>
        <w:ind w:firstLine="562" w:firstLineChars="200"/>
        <w:rPr>
          <w:rFonts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注：未提供或提供不全不得分，业绩为同一服务单位的不重复计分。中标后，中标单位须提供上述合同原件供学校核查。</w:t>
      </w:r>
    </w:p>
    <w:p w14:paraId="0E25625F">
      <w:pPr>
        <w:spacing w:line="500" w:lineRule="exact"/>
        <w:ind w:firstLine="560" w:firstLineChars="200"/>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（2）投标单位所提供的上述业绩，若同一服务单位的履约时间连续三年及以上的，每提供一份符合要求的得2</w:t>
      </w:r>
      <w:r>
        <w:rPr>
          <w:rFonts w:ascii="仿宋" w:hAnsi="仿宋" w:eastAsia="仿宋" w:cs="仿宋"/>
          <w:color w:val="000000" w:themeColor="text1"/>
          <w:sz w:val="28"/>
          <w:szCs w:val="28"/>
          <w14:textFill>
            <w14:solidFill>
              <w14:schemeClr w14:val="tx1"/>
            </w14:solidFill>
          </w14:textFill>
        </w:rPr>
        <w:t>分，最多</w:t>
      </w:r>
      <w:r>
        <w:rPr>
          <w:rFonts w:hint="eastAsia" w:ascii="仿宋" w:hAnsi="仿宋" w:eastAsia="仿宋" w:cs="仿宋"/>
          <w:color w:val="000000" w:themeColor="text1"/>
          <w:sz w:val="28"/>
          <w:szCs w:val="28"/>
          <w14:textFill>
            <w14:solidFill>
              <w14:schemeClr w14:val="tx1"/>
            </w14:solidFill>
          </w14:textFill>
        </w:rPr>
        <w:t>得4</w:t>
      </w:r>
      <w:r>
        <w:rPr>
          <w:rFonts w:ascii="仿宋" w:hAnsi="仿宋" w:eastAsia="仿宋" w:cs="仿宋"/>
          <w:color w:val="000000" w:themeColor="text1"/>
          <w:sz w:val="28"/>
          <w:szCs w:val="28"/>
          <w14:textFill>
            <w14:solidFill>
              <w14:schemeClr w14:val="tx1"/>
            </w14:solidFill>
          </w14:textFill>
        </w:rPr>
        <w:t>分。</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lang w:val="en-US" w:eastAsia="zh-CN"/>
          <w14:textFill>
            <w14:solidFill>
              <w14:schemeClr w14:val="tx1"/>
            </w14:solidFill>
          </w14:textFill>
        </w:rPr>
        <w:t>须</w:t>
      </w:r>
      <w:r>
        <w:rPr>
          <w:rFonts w:hint="eastAsia" w:ascii="仿宋" w:hAnsi="仿宋" w:eastAsia="仿宋" w:cs="仿宋"/>
          <w:color w:val="000000" w:themeColor="text1"/>
          <w:sz w:val="28"/>
          <w:szCs w:val="28"/>
          <w14:textFill>
            <w14:solidFill>
              <w14:schemeClr w14:val="tx1"/>
            </w14:solidFill>
          </w14:textFill>
        </w:rPr>
        <w:t>提供</w:t>
      </w:r>
      <w:r>
        <w:rPr>
          <w:rFonts w:hint="eastAsia" w:ascii="仿宋" w:hAnsi="仿宋" w:eastAsia="仿宋" w:cs="仿宋"/>
          <w:color w:val="000000" w:themeColor="text1"/>
          <w:sz w:val="28"/>
          <w:szCs w:val="28"/>
          <w:lang w:val="en-US" w:eastAsia="zh-CN"/>
          <w14:textFill>
            <w14:solidFill>
              <w14:schemeClr w14:val="tx1"/>
            </w14:solidFill>
          </w14:textFill>
        </w:rPr>
        <w:t>覆盖履约期限的</w:t>
      </w:r>
      <w:r>
        <w:rPr>
          <w:rFonts w:hint="eastAsia" w:ascii="仿宋" w:hAnsi="仿宋" w:eastAsia="仿宋" w:cs="仿宋"/>
          <w:color w:val="000000" w:themeColor="text1"/>
          <w:sz w:val="28"/>
          <w:szCs w:val="28"/>
          <w14:textFill>
            <w14:solidFill>
              <w14:schemeClr w14:val="tx1"/>
            </w14:solidFill>
          </w14:textFill>
        </w:rPr>
        <w:t>完整合同复印件</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lang w:val="en-US" w:eastAsia="zh-CN"/>
          <w14:textFill>
            <w14:solidFill>
              <w14:schemeClr w14:val="tx1"/>
            </w14:solidFill>
          </w14:textFill>
        </w:rPr>
        <w:t>否则不得分</w:t>
      </w:r>
      <w:r>
        <w:rPr>
          <w:rFonts w:hint="eastAsia" w:ascii="仿宋" w:hAnsi="仿宋" w:eastAsia="仿宋" w:cs="仿宋"/>
          <w:color w:val="000000" w:themeColor="text1"/>
          <w:sz w:val="28"/>
          <w:szCs w:val="28"/>
          <w:lang w:eastAsia="zh-CN"/>
          <w14:textFill>
            <w14:solidFill>
              <w14:schemeClr w14:val="tx1"/>
            </w14:solidFill>
          </w14:textFill>
        </w:rPr>
        <w:t>）</w:t>
      </w:r>
    </w:p>
    <w:p w14:paraId="31D77378">
      <w:pPr>
        <w:spacing w:line="500" w:lineRule="exact"/>
        <w:ind w:firstLine="560" w:firstLineChars="200"/>
        <w:rPr>
          <w:rFonts w:ascii="仿宋" w:hAnsi="仿宋" w:eastAsia="仿宋" w:cs="仿宋"/>
          <w:color w:val="000000" w:themeColor="text1"/>
          <w:sz w:val="28"/>
          <w:szCs w:val="28"/>
          <w14:textFill>
            <w14:solidFill>
              <w14:schemeClr w14:val="tx1"/>
            </w14:solidFill>
          </w14:textFill>
        </w:rPr>
      </w:pPr>
      <w:r>
        <w:rPr>
          <w:rFonts w:ascii="仿宋" w:hAnsi="仿宋" w:eastAsia="仿宋" w:cs="仿宋"/>
          <w:color w:val="000000" w:themeColor="text1"/>
          <w:sz w:val="28"/>
          <w:szCs w:val="28"/>
          <w14:textFill>
            <w14:solidFill>
              <w14:schemeClr w14:val="tx1"/>
            </w14:solidFill>
          </w14:textFill>
        </w:rPr>
        <w:t>（</w:t>
      </w:r>
      <w:r>
        <w:rPr>
          <w:rFonts w:hint="eastAsia" w:ascii="仿宋" w:hAnsi="仿宋" w:eastAsia="仿宋" w:cs="仿宋"/>
          <w:color w:val="000000" w:themeColor="text1"/>
          <w:sz w:val="28"/>
          <w:szCs w:val="28"/>
          <w14:textFill>
            <w14:solidFill>
              <w14:schemeClr w14:val="tx1"/>
            </w14:solidFill>
          </w14:textFill>
        </w:rPr>
        <w:t>3</w:t>
      </w:r>
      <w:r>
        <w:rPr>
          <w:rFonts w:ascii="仿宋" w:hAnsi="仿宋" w:eastAsia="仿宋" w:cs="仿宋"/>
          <w:color w:val="000000" w:themeColor="text1"/>
          <w:sz w:val="28"/>
          <w:szCs w:val="28"/>
          <w14:textFill>
            <w14:solidFill>
              <w14:schemeClr w14:val="tx1"/>
            </w14:solidFill>
          </w14:textFill>
        </w:rPr>
        <w:t>）</w:t>
      </w:r>
      <w:r>
        <w:rPr>
          <w:rFonts w:hint="eastAsia" w:ascii="仿宋" w:hAnsi="仿宋" w:eastAsia="仿宋" w:cs="仿宋"/>
          <w:color w:val="000000" w:themeColor="text1"/>
          <w:sz w:val="28"/>
          <w:szCs w:val="28"/>
          <w14:textFill>
            <w14:solidFill>
              <w14:schemeClr w14:val="tx1"/>
            </w14:solidFill>
          </w14:textFill>
        </w:rPr>
        <w:t>上述业绩中投标单位获得过服务单位评优评先表彰的，每提供一个得2</w:t>
      </w:r>
      <w:r>
        <w:rPr>
          <w:rFonts w:ascii="仿宋" w:hAnsi="仿宋" w:eastAsia="仿宋" w:cs="仿宋"/>
          <w:color w:val="000000" w:themeColor="text1"/>
          <w:sz w:val="28"/>
          <w:szCs w:val="28"/>
          <w14:textFill>
            <w14:solidFill>
              <w14:schemeClr w14:val="tx1"/>
            </w14:solidFill>
          </w14:textFill>
        </w:rPr>
        <w:t>分，最多加</w:t>
      </w:r>
      <w:r>
        <w:rPr>
          <w:rFonts w:hint="eastAsia" w:ascii="仿宋" w:hAnsi="仿宋" w:eastAsia="仿宋" w:cs="仿宋"/>
          <w:color w:val="000000" w:themeColor="text1"/>
          <w:sz w:val="28"/>
          <w:szCs w:val="28"/>
          <w14:textFill>
            <w14:solidFill>
              <w14:schemeClr w14:val="tx1"/>
            </w14:solidFill>
          </w14:textFill>
        </w:rPr>
        <w:t>4</w:t>
      </w:r>
      <w:r>
        <w:rPr>
          <w:rFonts w:ascii="仿宋" w:hAnsi="仿宋" w:eastAsia="仿宋" w:cs="仿宋"/>
          <w:color w:val="000000" w:themeColor="text1"/>
          <w:sz w:val="28"/>
          <w:szCs w:val="28"/>
          <w14:textFill>
            <w14:solidFill>
              <w14:schemeClr w14:val="tx1"/>
            </w14:solidFill>
          </w14:textFill>
        </w:rPr>
        <w:t>分。（</w:t>
      </w:r>
      <w:r>
        <w:rPr>
          <w:rFonts w:hint="eastAsia" w:ascii="仿宋" w:hAnsi="仿宋" w:eastAsia="仿宋" w:cs="仿宋"/>
          <w:color w:val="000000" w:themeColor="text1"/>
          <w:sz w:val="28"/>
          <w:szCs w:val="28"/>
          <w14:textFill>
            <w14:solidFill>
              <w14:schemeClr w14:val="tx1"/>
            </w14:solidFill>
          </w14:textFill>
        </w:rPr>
        <w:t>须提供服务单位出具的盖章证明材料</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lang w:val="en-US" w:eastAsia="zh-CN"/>
          <w14:textFill>
            <w14:solidFill>
              <w14:schemeClr w14:val="tx1"/>
            </w14:solidFill>
          </w14:textFill>
        </w:rPr>
        <w:t>否则不得分</w:t>
      </w:r>
      <w:r>
        <w:rPr>
          <w:rFonts w:ascii="仿宋" w:hAnsi="仿宋" w:eastAsia="仿宋" w:cs="仿宋"/>
          <w:color w:val="000000" w:themeColor="text1"/>
          <w:sz w:val="28"/>
          <w:szCs w:val="28"/>
          <w14:textFill>
            <w14:solidFill>
              <w14:schemeClr w14:val="tx1"/>
            </w14:solidFill>
          </w14:textFill>
        </w:rPr>
        <w:t>）</w:t>
      </w:r>
    </w:p>
    <w:p w14:paraId="31758488">
      <w:pPr>
        <w:spacing w:line="50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（六）仓储面积（8分）</w:t>
      </w:r>
    </w:p>
    <w:p w14:paraId="046A2941">
      <w:pPr>
        <w:spacing w:line="500" w:lineRule="exact"/>
        <w:ind w:firstLine="560" w:firstLineChars="200"/>
        <w:rPr>
          <w:rFonts w:ascii="仿宋" w:hAnsi="仿宋" w:eastAsia="仿宋" w:cs="仿宋"/>
          <w:bCs/>
          <w:color w:val="000000" w:themeColor="text1"/>
          <w:sz w:val="28"/>
          <w:szCs w:val="28"/>
          <w14:textFill>
            <w14:solidFill>
              <w14:schemeClr w14:val="tx1"/>
            </w14:solidFill>
          </w14:textFill>
        </w:rPr>
      </w:pPr>
      <w:r>
        <w:rPr>
          <w:rFonts w:hint="eastAsia" w:ascii="仿宋" w:hAnsi="仿宋" w:eastAsia="仿宋" w:cs="仿宋"/>
          <w:bCs/>
          <w:color w:val="000000" w:themeColor="text1"/>
          <w:sz w:val="28"/>
          <w:szCs w:val="28"/>
          <w14:textFill>
            <w14:solidFill>
              <w14:schemeClr w14:val="tx1"/>
            </w14:solidFill>
          </w14:textFill>
        </w:rPr>
        <w:t>仓储面积低于500平方米不得分，每满500平方米加2分，最高加8分。</w:t>
      </w:r>
    </w:p>
    <w:p w14:paraId="77BD5FE7">
      <w:pPr>
        <w:spacing w:line="500" w:lineRule="exact"/>
        <w:ind w:firstLine="562" w:firstLineChars="200"/>
        <w:rPr>
          <w:rFonts w:ascii="仿宋" w:hAnsi="仿宋" w:eastAsia="仿宋" w:cs="仿宋"/>
          <w:b/>
          <w:bCs/>
          <w:sz w:val="28"/>
          <w:szCs w:val="28"/>
        </w:rPr>
      </w:pPr>
      <w:r>
        <w:rPr>
          <w:rFonts w:hint="eastAsia" w:ascii="仿宋" w:hAnsi="仿宋" w:eastAsia="仿宋" w:cs="仿宋"/>
          <w:b/>
          <w:bCs/>
          <w:color w:val="000000" w:themeColor="text1"/>
          <w:sz w:val="28"/>
          <w:szCs w:val="28"/>
          <w14:textFill>
            <w14:solidFill>
              <w14:schemeClr w14:val="tx1"/>
            </w14:solidFill>
          </w14:textFill>
        </w:rPr>
        <w:t>注：自有仓库的须提供相关产权证明复印件，租赁的须提供</w:t>
      </w:r>
      <w:r>
        <w:rPr>
          <w:rFonts w:hint="eastAsia" w:ascii="仿宋" w:hAnsi="仿宋" w:eastAsia="仿宋" w:cs="仿宋"/>
          <w:b/>
          <w:bCs/>
          <w:sz w:val="28"/>
          <w:szCs w:val="28"/>
        </w:rPr>
        <w:t>租赁协议及出租方相关产权证明复印件。未提供或提供不全的，不得分。中标后，中标单位提供上述</w:t>
      </w:r>
      <w:r>
        <w:rPr>
          <w:rFonts w:hint="eastAsia" w:ascii="仿宋" w:hAnsi="仿宋" w:eastAsia="仿宋" w:cs="仿宋"/>
          <w:b/>
          <w:bCs/>
          <w:sz w:val="28"/>
          <w:szCs w:val="28"/>
          <w:lang w:val="en-US" w:eastAsia="zh-CN"/>
        </w:rPr>
        <w:t>材料</w:t>
      </w:r>
      <w:r>
        <w:rPr>
          <w:rFonts w:hint="eastAsia" w:ascii="仿宋" w:hAnsi="仿宋" w:eastAsia="仿宋" w:cs="仿宋"/>
          <w:b/>
          <w:bCs/>
          <w:sz w:val="28"/>
          <w:szCs w:val="28"/>
        </w:rPr>
        <w:t>原件供学校核查。</w:t>
      </w:r>
    </w:p>
    <w:p w14:paraId="37151116">
      <w:pPr>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（七）运输能力（4分）</w:t>
      </w:r>
    </w:p>
    <w:p w14:paraId="3E3D4FAF">
      <w:pPr>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根据投标单位提供的运输车辆情况进行评分，少于4辆不得分，每满4辆加2分，最高得4分。</w:t>
      </w:r>
    </w:p>
    <w:p w14:paraId="5126CC7B">
      <w:pPr>
        <w:spacing w:line="500" w:lineRule="exact"/>
        <w:ind w:firstLine="562" w:firstLineChars="200"/>
        <w:rPr>
          <w:rFonts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sz w:val="28"/>
          <w:szCs w:val="28"/>
        </w:rPr>
        <w:t>注：自有运输车辆须提供运输车辆的机动车行驶证复印件；租赁的须提供租赁协议及运输车辆的机动车行驶证复印件；同时提供配送</w:t>
      </w:r>
      <w:r>
        <w:rPr>
          <w:rFonts w:hint="eastAsia" w:ascii="仿宋" w:hAnsi="仿宋" w:eastAsia="仿宋" w:cs="仿宋"/>
          <w:b/>
          <w:bCs/>
          <w:color w:val="000000" w:themeColor="text1"/>
          <w:sz w:val="28"/>
          <w:szCs w:val="28"/>
          <w14:textFill>
            <w14:solidFill>
              <w14:schemeClr w14:val="tx1"/>
            </w14:solidFill>
          </w14:textFill>
        </w:rPr>
        <w:t>车辆专用承诺函。未提供或提供不全的，不得分。</w:t>
      </w:r>
    </w:p>
    <w:p w14:paraId="587F77B4">
      <w:pPr>
        <w:spacing w:line="50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（八）食品安全保障机制（</w:t>
      </w:r>
      <w:r>
        <w:rPr>
          <w:rFonts w:ascii="仿宋" w:hAnsi="仿宋" w:eastAsia="仿宋" w:cs="仿宋"/>
          <w:color w:val="000000" w:themeColor="text1"/>
          <w:sz w:val="28"/>
          <w:szCs w:val="28"/>
          <w14:textFill>
            <w14:solidFill>
              <w14:schemeClr w14:val="tx1"/>
            </w14:solidFill>
          </w14:textFill>
        </w:rPr>
        <w:t>7</w:t>
      </w:r>
      <w:r>
        <w:rPr>
          <w:rFonts w:hint="eastAsia" w:ascii="仿宋" w:hAnsi="仿宋" w:eastAsia="仿宋" w:cs="仿宋"/>
          <w:color w:val="000000" w:themeColor="text1"/>
          <w:sz w:val="28"/>
          <w:szCs w:val="28"/>
          <w14:textFill>
            <w14:solidFill>
              <w14:schemeClr w14:val="tx1"/>
            </w14:solidFill>
          </w14:textFill>
        </w:rPr>
        <w:t>分）</w:t>
      </w:r>
    </w:p>
    <w:p w14:paraId="2D20193F">
      <w:pPr>
        <w:spacing w:line="50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根据投标单位对食品安全保障机制的建立、实施情况（包括但不限于食品安全管理组织架构及职责、全流程食品安全管理制度、食品安全风险管控制度</w:t>
      </w:r>
      <w:r>
        <w:rPr>
          <w:rFonts w:hint="eastAsia" w:ascii="仿宋" w:hAnsi="仿宋" w:eastAsia="仿宋" w:cs="仿宋"/>
          <w:bCs/>
          <w:color w:val="000000" w:themeColor="text1"/>
          <w:sz w:val="28"/>
          <w:szCs w:val="28"/>
          <w14:textFill>
            <w14:solidFill>
              <w14:schemeClr w14:val="tx1"/>
            </w14:solidFill>
          </w14:textFill>
        </w:rPr>
        <w:t>等）</w:t>
      </w:r>
      <w:r>
        <w:rPr>
          <w:rFonts w:hint="eastAsia" w:ascii="仿宋" w:hAnsi="仿宋" w:eastAsia="仿宋" w:cs="仿宋"/>
          <w:color w:val="000000" w:themeColor="text1"/>
          <w:sz w:val="28"/>
          <w:szCs w:val="28"/>
          <w14:textFill>
            <w14:solidFill>
              <w14:schemeClr w14:val="tx1"/>
            </w14:solidFill>
          </w14:textFill>
        </w:rPr>
        <w:t>综合打分。</w:t>
      </w:r>
    </w:p>
    <w:p w14:paraId="43754C18">
      <w:pPr>
        <w:spacing w:line="500" w:lineRule="exact"/>
        <w:ind w:firstLine="560" w:firstLineChars="200"/>
        <w:rPr>
          <w:rFonts w:ascii="仿宋" w:hAnsi="仿宋" w:eastAsia="仿宋" w:cs="仿宋"/>
          <w:sz w:val="28"/>
          <w:szCs w:val="28"/>
        </w:rPr>
      </w:pPr>
      <w:r>
        <w:rPr>
          <w:rFonts w:hint="eastAsia" w:ascii="仿宋" w:hAnsi="仿宋" w:eastAsia="仿宋" w:cs="仿宋"/>
          <w:color w:val="000000" w:themeColor="text1"/>
          <w:sz w:val="28"/>
          <w:szCs w:val="28"/>
          <w14:textFill>
            <w14:solidFill>
              <w14:schemeClr w14:val="tx1"/>
            </w14:solidFill>
          </w14:textFill>
        </w:rPr>
        <w:t>食品安全保障机制</w:t>
      </w:r>
      <w:r>
        <w:rPr>
          <w:rFonts w:hint="eastAsia" w:ascii="仿宋" w:hAnsi="仿宋" w:eastAsia="仿宋" w:cs="仿宋"/>
          <w:bCs/>
          <w:color w:val="000000" w:themeColor="text1"/>
          <w:sz w:val="28"/>
          <w:szCs w:val="28"/>
          <w14:textFill>
            <w14:solidFill>
              <w14:schemeClr w14:val="tx1"/>
            </w14:solidFill>
          </w14:textFill>
        </w:rPr>
        <w:t>完善详细，措施合理，操作性强的得</w:t>
      </w:r>
      <w:r>
        <w:rPr>
          <w:rFonts w:ascii="仿宋" w:hAnsi="仿宋" w:eastAsia="仿宋" w:cs="仿宋"/>
          <w:bCs/>
          <w:color w:val="000000" w:themeColor="text1"/>
          <w:sz w:val="28"/>
          <w:szCs w:val="28"/>
          <w14:textFill>
            <w14:solidFill>
              <w14:schemeClr w14:val="tx1"/>
            </w14:solidFill>
          </w14:textFill>
        </w:rPr>
        <w:t>7</w:t>
      </w:r>
      <w:r>
        <w:rPr>
          <w:rFonts w:hint="eastAsia" w:ascii="仿宋" w:hAnsi="仿宋" w:eastAsia="仿宋" w:cs="仿宋"/>
          <w:bCs/>
          <w:color w:val="000000" w:themeColor="text1"/>
          <w:sz w:val="28"/>
          <w:szCs w:val="28"/>
          <w14:textFill>
            <w14:solidFill>
              <w14:schemeClr w14:val="tx1"/>
            </w14:solidFill>
          </w14:textFill>
        </w:rPr>
        <w:t>分；食品安全保障机制完善较详细，措施较合理，操作性较强的得</w:t>
      </w:r>
      <w:r>
        <w:rPr>
          <w:rFonts w:hint="eastAsia" w:ascii="仿宋" w:hAnsi="仿宋" w:eastAsia="仿宋" w:cs="仿宋"/>
          <w:bCs/>
          <w:color w:val="000000" w:themeColor="text1"/>
          <w:sz w:val="28"/>
          <w:szCs w:val="28"/>
          <w:lang w:val="en-US" w:eastAsia="zh-CN"/>
          <w14:textFill>
            <w14:solidFill>
              <w14:schemeClr w14:val="tx1"/>
            </w14:solidFill>
          </w14:textFill>
        </w:rPr>
        <w:t>5</w:t>
      </w:r>
      <w:r>
        <w:rPr>
          <w:rFonts w:hint="eastAsia" w:ascii="仿宋" w:hAnsi="仿宋" w:eastAsia="仿宋" w:cs="仿宋"/>
          <w:bCs/>
          <w:color w:val="000000" w:themeColor="text1"/>
          <w:sz w:val="28"/>
          <w:szCs w:val="28"/>
          <w14:textFill>
            <w14:solidFill>
              <w14:schemeClr w14:val="tx1"/>
            </w14:solidFill>
          </w14:textFill>
        </w:rPr>
        <w:t>分；食品安全保障机制简单，措施部分合理，操作性较弱的得</w:t>
      </w:r>
      <w:r>
        <w:rPr>
          <w:rFonts w:hint="eastAsia" w:ascii="仿宋" w:hAnsi="仿宋" w:eastAsia="仿宋" w:cs="仿宋"/>
          <w:bCs/>
          <w:color w:val="000000" w:themeColor="text1"/>
          <w:sz w:val="28"/>
          <w:szCs w:val="28"/>
          <w:lang w:val="en-US" w:eastAsia="zh-CN"/>
          <w14:textFill>
            <w14:solidFill>
              <w14:schemeClr w14:val="tx1"/>
            </w14:solidFill>
          </w14:textFill>
        </w:rPr>
        <w:t>3</w:t>
      </w:r>
      <w:r>
        <w:rPr>
          <w:rFonts w:hint="eastAsia" w:ascii="仿宋" w:hAnsi="仿宋" w:eastAsia="仿宋" w:cs="仿宋"/>
          <w:bCs/>
          <w:color w:val="000000" w:themeColor="text1"/>
          <w:sz w:val="28"/>
          <w:szCs w:val="28"/>
          <w14:textFill>
            <w14:solidFill>
              <w14:schemeClr w14:val="tx1"/>
            </w14:solidFill>
          </w14:textFill>
        </w:rPr>
        <w:t>分；食品安</w:t>
      </w:r>
      <w:r>
        <w:rPr>
          <w:rFonts w:hint="eastAsia" w:ascii="仿宋" w:hAnsi="仿宋" w:eastAsia="仿宋" w:cs="仿宋"/>
          <w:bCs/>
          <w:sz w:val="28"/>
          <w:szCs w:val="28"/>
        </w:rPr>
        <w:t>全保障机制内容缺失，措施不明确，操作性差的得1分；不提供不得分。</w:t>
      </w:r>
    </w:p>
    <w:p w14:paraId="05F51621">
      <w:pPr>
        <w:spacing w:line="500" w:lineRule="exact"/>
        <w:ind w:firstLine="562" w:firstLineChars="200"/>
        <w:rPr>
          <w:rFonts w:ascii="仿宋" w:hAnsi="仿宋" w:eastAsia="仿宋" w:cs="仿宋"/>
          <w:b/>
          <w:sz w:val="28"/>
          <w:szCs w:val="28"/>
        </w:rPr>
      </w:pPr>
      <w:r>
        <w:rPr>
          <w:rFonts w:hint="eastAsia" w:ascii="仿宋" w:hAnsi="仿宋" w:eastAsia="仿宋" w:cs="仿宋"/>
          <w:b/>
          <w:sz w:val="28"/>
          <w:szCs w:val="28"/>
        </w:rPr>
        <w:t>注：以上食品安全保障机制需提供操作规范、检测设备场所等相关图片的证明材料。</w:t>
      </w:r>
    </w:p>
    <w:p w14:paraId="265EA890">
      <w:pPr>
        <w:spacing w:line="500" w:lineRule="exact"/>
        <w:ind w:firstLine="560" w:firstLineChars="200"/>
        <w:rPr>
          <w:rFonts w:ascii="仿宋" w:hAnsi="仿宋" w:eastAsia="仿宋" w:cs="仿宋"/>
          <w:bCs/>
          <w:sz w:val="28"/>
          <w:szCs w:val="28"/>
        </w:rPr>
      </w:pPr>
      <w:r>
        <w:rPr>
          <w:rFonts w:hint="eastAsia" w:ascii="仿宋" w:hAnsi="仿宋" w:eastAsia="仿宋" w:cs="仿宋"/>
          <w:bCs/>
          <w:sz w:val="28"/>
          <w:szCs w:val="28"/>
        </w:rPr>
        <w:t>（九）服务团队配备（3分）</w:t>
      </w:r>
    </w:p>
    <w:p w14:paraId="1875551C">
      <w:pPr>
        <w:spacing w:line="500" w:lineRule="exact"/>
        <w:ind w:firstLine="560" w:firstLineChars="200"/>
        <w:rPr>
          <w:rFonts w:ascii="仿宋" w:hAnsi="仿宋" w:eastAsia="仿宋" w:cs="仿宋"/>
          <w:bCs/>
          <w:sz w:val="28"/>
          <w:szCs w:val="28"/>
        </w:rPr>
      </w:pPr>
      <w:r>
        <w:rPr>
          <w:rFonts w:hint="eastAsia" w:ascii="仿宋" w:hAnsi="仿宋" w:eastAsia="仿宋" w:cs="仿宋"/>
          <w:bCs/>
          <w:sz w:val="28"/>
          <w:szCs w:val="28"/>
        </w:rPr>
        <w:t>1.根据投标单位为所投标段配备的项目负责人情况进行评分（2分）。项目负责人具有本科及以上学历的，得1分；具有3年及以上类似项目经历的，得1分。</w:t>
      </w:r>
    </w:p>
    <w:p w14:paraId="684EE0DF">
      <w:pPr>
        <w:spacing w:line="500" w:lineRule="exact"/>
        <w:ind w:firstLine="560" w:firstLineChars="200"/>
        <w:rPr>
          <w:rFonts w:ascii="仿宋" w:hAnsi="仿宋" w:eastAsia="仿宋" w:cs="仿宋"/>
          <w:bCs/>
          <w:sz w:val="28"/>
          <w:szCs w:val="28"/>
        </w:rPr>
      </w:pPr>
      <w:r>
        <w:rPr>
          <w:rFonts w:hint="eastAsia" w:ascii="仿宋" w:hAnsi="仿宋" w:eastAsia="仿宋" w:cs="仿宋"/>
          <w:bCs/>
          <w:sz w:val="28"/>
          <w:szCs w:val="28"/>
        </w:rPr>
        <w:t>2.除项目负责人外，为项目配备2名骨干团队人员的，得1分，须提供人员名单和基本信息，否则不得分。</w:t>
      </w:r>
    </w:p>
    <w:p w14:paraId="3515B2B7">
      <w:pPr>
        <w:spacing w:line="500" w:lineRule="exact"/>
        <w:jc w:val="left"/>
        <w:rPr>
          <w:rFonts w:ascii="仿宋" w:hAnsi="仿宋" w:eastAsia="仿宋" w:cs="仿宋"/>
          <w:b/>
          <w:sz w:val="28"/>
          <w:szCs w:val="28"/>
        </w:rPr>
      </w:pPr>
      <w:r>
        <w:rPr>
          <w:rFonts w:hint="eastAsia" w:ascii="仿宋" w:hAnsi="仿宋" w:eastAsia="仿宋" w:cs="仿宋"/>
          <w:b/>
          <w:sz w:val="28"/>
          <w:szCs w:val="28"/>
        </w:rPr>
        <w:t xml:space="preserve">   注：以上须提供学历证书、劳动合同等相关证明材料及投标单位近3个月为其缴纳的社保证明复印件，否则不得分。</w:t>
      </w:r>
    </w:p>
    <w:p w14:paraId="1C75D8F2">
      <w:pPr>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（十）食品安全责任险（3分）</w:t>
      </w:r>
    </w:p>
    <w:p w14:paraId="701073CF">
      <w:pPr>
        <w:spacing w:line="500" w:lineRule="exact"/>
        <w:ind w:firstLine="560" w:firstLineChars="200"/>
        <w:rPr>
          <w:rFonts w:ascii="仿宋" w:hAnsi="仿宋" w:eastAsia="仿宋" w:cs="仿宋"/>
          <w:bCs/>
          <w:sz w:val="28"/>
          <w:szCs w:val="28"/>
        </w:rPr>
      </w:pPr>
      <w:r>
        <w:rPr>
          <w:rFonts w:hint="eastAsia" w:ascii="仿宋" w:hAnsi="仿宋" w:eastAsia="仿宋" w:cs="仿宋"/>
          <w:bCs/>
          <w:sz w:val="28"/>
          <w:szCs w:val="28"/>
        </w:rPr>
        <w:t>根据投标单位承诺的服务期内为我校足额购买食品安全责任险情况进行评定。保额在500万元及以上的，得3分；400万元及以上，500万元以下的，得2分；300万元及以上，400万元以下的，得1分。</w:t>
      </w:r>
    </w:p>
    <w:p w14:paraId="4237B95F">
      <w:pPr>
        <w:spacing w:line="500" w:lineRule="exact"/>
        <w:ind w:firstLine="562" w:firstLineChars="200"/>
        <w:rPr>
          <w:rFonts w:ascii="仿宋" w:hAnsi="仿宋" w:eastAsia="仿宋" w:cs="仿宋"/>
          <w:b/>
          <w:sz w:val="28"/>
          <w:szCs w:val="28"/>
        </w:rPr>
      </w:pPr>
      <w:r>
        <w:rPr>
          <w:rFonts w:hint="eastAsia" w:ascii="仿宋" w:hAnsi="仿宋" w:eastAsia="仿宋" w:cs="仿宋"/>
          <w:b/>
          <w:sz w:val="28"/>
          <w:szCs w:val="28"/>
        </w:rPr>
        <w:t>注：须提供承诺函，否则不得分。</w:t>
      </w:r>
    </w:p>
    <w:p w14:paraId="6ECF3E03">
      <w:pPr>
        <w:spacing w:line="500" w:lineRule="exact"/>
        <w:ind w:firstLine="560" w:firstLineChars="200"/>
        <w:rPr>
          <w:rFonts w:ascii="仿宋" w:hAnsi="仿宋" w:eastAsia="仿宋" w:cs="仿宋"/>
          <w:b/>
          <w:bCs/>
          <w:sz w:val="28"/>
          <w:szCs w:val="28"/>
        </w:rPr>
      </w:pPr>
      <w:r>
        <w:rPr>
          <w:rFonts w:hint="eastAsia" w:ascii="仿宋" w:hAnsi="仿宋" w:eastAsia="仿宋" w:cs="仿宋"/>
          <w:bCs/>
          <w:sz w:val="28"/>
          <w:szCs w:val="28"/>
        </w:rPr>
        <w:t>（十</w:t>
      </w:r>
      <w:r>
        <w:rPr>
          <w:rFonts w:hint="eastAsia" w:ascii="仿宋" w:hAnsi="仿宋" w:eastAsia="仿宋" w:cs="仿宋"/>
          <w:bCs/>
          <w:sz w:val="28"/>
          <w:szCs w:val="28"/>
          <w:lang w:val="en-US" w:eastAsia="zh-CN"/>
        </w:rPr>
        <w:t>一</w:t>
      </w:r>
      <w:r>
        <w:rPr>
          <w:rFonts w:hint="eastAsia" w:ascii="仿宋" w:hAnsi="仿宋" w:eastAsia="仿宋" w:cs="仿宋"/>
          <w:bCs/>
          <w:sz w:val="28"/>
          <w:szCs w:val="28"/>
        </w:rPr>
        <w:t>）应急处理实施方案（</w:t>
      </w:r>
      <w:r>
        <w:rPr>
          <w:rFonts w:ascii="仿宋" w:hAnsi="仿宋" w:eastAsia="仿宋" w:cs="仿宋"/>
          <w:bCs/>
          <w:sz w:val="28"/>
          <w:szCs w:val="28"/>
        </w:rPr>
        <w:t>6</w:t>
      </w:r>
      <w:r>
        <w:rPr>
          <w:rFonts w:hint="eastAsia" w:ascii="仿宋" w:hAnsi="仿宋" w:eastAsia="仿宋" w:cs="仿宋"/>
          <w:bCs/>
          <w:sz w:val="28"/>
          <w:szCs w:val="28"/>
        </w:rPr>
        <w:t>分）</w:t>
      </w:r>
    </w:p>
    <w:p w14:paraId="1F8AE464">
      <w:pPr>
        <w:spacing w:line="500" w:lineRule="exact"/>
        <w:ind w:firstLine="560" w:firstLineChars="200"/>
        <w:rPr>
          <w:rFonts w:ascii="仿宋" w:hAnsi="仿宋" w:eastAsia="仿宋" w:cs="仿宋"/>
          <w:bCs/>
          <w:sz w:val="28"/>
          <w:szCs w:val="28"/>
        </w:rPr>
      </w:pPr>
      <w:r>
        <w:rPr>
          <w:rFonts w:hint="eastAsia" w:ascii="仿宋" w:hAnsi="仿宋" w:eastAsia="仿宋" w:cs="仿宋"/>
          <w:bCs/>
          <w:sz w:val="28"/>
          <w:szCs w:val="28"/>
        </w:rPr>
        <w:t>投标单位须列明各种可能发生的突发事件以及相应的处理办法，其中必须包括1.承诺在市场价格骤涨情况下，先按时供货再与采购人协商，在价格未调整情况下确保供应；2.遭遇恶劣天气情况下（台风、暴雨、冰灾、雪灾等）能保证及时供货，在本地储备一定数量的应急食堂食材物资，并具备配送能力，保障食堂为校内师生正常提供服务（明确品种、数量、存地点、管理办法、启用方式等）；3.遭遇其他突发状况下的保供措施（如疫情等重大突发情况）；4.日常退换货和临时性补货，2小时内完成日常退换货和临时性补货的承诺。</w:t>
      </w:r>
    </w:p>
    <w:p w14:paraId="2E688800">
      <w:pPr>
        <w:spacing w:line="500" w:lineRule="exact"/>
        <w:ind w:firstLine="560" w:firstLineChars="200"/>
        <w:rPr>
          <w:rFonts w:ascii="仿宋" w:hAnsi="仿宋" w:eastAsia="仿宋" w:cs="仿宋"/>
          <w:bCs/>
          <w:sz w:val="28"/>
          <w:szCs w:val="28"/>
        </w:rPr>
      </w:pPr>
      <w:r>
        <w:rPr>
          <w:rFonts w:hint="eastAsia" w:ascii="仿宋" w:hAnsi="仿宋" w:eastAsia="仿宋" w:cs="仿宋"/>
          <w:bCs/>
          <w:sz w:val="28"/>
          <w:szCs w:val="28"/>
        </w:rPr>
        <w:t>应急处理实施方案完善、细致，操作性强的得</w:t>
      </w:r>
      <w:r>
        <w:rPr>
          <w:rFonts w:ascii="仿宋" w:hAnsi="仿宋" w:eastAsia="仿宋" w:cs="仿宋"/>
          <w:bCs/>
          <w:sz w:val="28"/>
          <w:szCs w:val="28"/>
        </w:rPr>
        <w:t>6</w:t>
      </w:r>
      <w:r>
        <w:rPr>
          <w:rFonts w:hint="eastAsia" w:ascii="仿宋" w:hAnsi="仿宋" w:eastAsia="仿宋" w:cs="仿宋"/>
          <w:bCs/>
          <w:sz w:val="28"/>
          <w:szCs w:val="28"/>
        </w:rPr>
        <w:t>分；应急处理实施方案较完善、细致，操作性较强的得</w:t>
      </w:r>
      <w:r>
        <w:rPr>
          <w:rFonts w:hint="eastAsia" w:ascii="仿宋" w:hAnsi="仿宋" w:eastAsia="仿宋" w:cs="仿宋"/>
          <w:bCs/>
          <w:sz w:val="28"/>
          <w:szCs w:val="28"/>
          <w:lang w:val="en-US" w:eastAsia="zh-CN"/>
        </w:rPr>
        <w:t>4</w:t>
      </w:r>
      <w:r>
        <w:rPr>
          <w:rFonts w:hint="eastAsia" w:ascii="仿宋" w:hAnsi="仿宋" w:eastAsia="仿宋" w:cs="仿宋"/>
          <w:bCs/>
          <w:sz w:val="28"/>
          <w:szCs w:val="28"/>
        </w:rPr>
        <w:t>分；应急处理实施方案简单，有一定操作性的得2分；应急处理实施方案内容欠缺，操作性较差的得1分；未提供不得分。</w:t>
      </w:r>
    </w:p>
    <w:p w14:paraId="7B364043">
      <w:pPr>
        <w:spacing w:line="500" w:lineRule="exact"/>
        <w:ind w:firstLine="560" w:firstLineChars="200"/>
        <w:rPr>
          <w:rFonts w:ascii="仿宋" w:hAnsi="仿宋" w:eastAsia="仿宋" w:cs="仿宋"/>
          <w:bCs/>
          <w:color w:val="000000" w:themeColor="text1"/>
          <w:sz w:val="28"/>
          <w:szCs w:val="28"/>
          <w14:textFill>
            <w14:solidFill>
              <w14:schemeClr w14:val="tx1"/>
            </w14:solidFill>
          </w14:textFill>
        </w:rPr>
      </w:pPr>
      <w:r>
        <w:rPr>
          <w:rFonts w:hint="eastAsia" w:ascii="仿宋" w:hAnsi="仿宋" w:eastAsia="仿宋" w:cs="仿宋"/>
          <w:bCs/>
          <w:color w:val="000000" w:themeColor="text1"/>
          <w:sz w:val="28"/>
          <w:szCs w:val="28"/>
          <w14:textFill>
            <w14:solidFill>
              <w14:schemeClr w14:val="tx1"/>
            </w14:solidFill>
          </w14:textFill>
        </w:rPr>
        <w:t>（十</w:t>
      </w:r>
      <w:r>
        <w:rPr>
          <w:rFonts w:hint="eastAsia" w:ascii="仿宋" w:hAnsi="仿宋" w:eastAsia="仿宋" w:cs="仿宋"/>
          <w:bCs/>
          <w:color w:val="000000" w:themeColor="text1"/>
          <w:sz w:val="28"/>
          <w:szCs w:val="28"/>
          <w:lang w:val="en-US" w:eastAsia="zh-CN"/>
          <w14:textFill>
            <w14:solidFill>
              <w14:schemeClr w14:val="tx1"/>
            </w14:solidFill>
          </w14:textFill>
        </w:rPr>
        <w:t>二</w:t>
      </w:r>
      <w:r>
        <w:rPr>
          <w:rFonts w:hint="eastAsia" w:ascii="仿宋" w:hAnsi="仿宋" w:eastAsia="仿宋" w:cs="仿宋"/>
          <w:bCs/>
          <w:color w:val="000000" w:themeColor="text1"/>
          <w:sz w:val="28"/>
          <w:szCs w:val="28"/>
          <w14:textFill>
            <w14:solidFill>
              <w14:schemeClr w14:val="tx1"/>
            </w14:solidFill>
          </w14:textFill>
        </w:rPr>
        <w:t>）个性化及增值服务（3分）</w:t>
      </w:r>
    </w:p>
    <w:p w14:paraId="6B4C497E">
      <w:pPr>
        <w:spacing w:line="500" w:lineRule="exact"/>
        <w:ind w:firstLine="560" w:firstLineChars="200"/>
        <w:rPr>
          <w:rFonts w:ascii="仿宋" w:hAnsi="仿宋" w:eastAsia="仿宋" w:cs="仿宋"/>
          <w:bCs/>
          <w:color w:val="000000" w:themeColor="text1"/>
          <w:sz w:val="28"/>
          <w:szCs w:val="28"/>
          <w14:textFill>
            <w14:solidFill>
              <w14:schemeClr w14:val="tx1"/>
            </w14:solidFill>
          </w14:textFill>
        </w:rPr>
      </w:pPr>
      <w:r>
        <w:rPr>
          <w:rFonts w:hint="eastAsia" w:ascii="仿宋" w:hAnsi="仿宋" w:eastAsia="仿宋" w:cs="仿宋"/>
          <w:bCs/>
          <w:color w:val="000000" w:themeColor="text1"/>
          <w:sz w:val="28"/>
          <w:szCs w:val="28"/>
          <w14:textFill>
            <w14:solidFill>
              <w14:schemeClr w14:val="tx1"/>
            </w14:solidFill>
          </w14:textFill>
        </w:rPr>
        <w:t>提供专为学校定制的个性化和增值服务方案，需详细描述个性化和增值服务的特色内容、实施方式、服务承诺和优惠措施等。个性化和增值服务方案的可行性、可操作性强得3分；个性化和增值服务方案的可行性、可操作性较强得2分；个性化和增值服务方案的可行性、可操作性一般得1分。不提供不得分。</w:t>
      </w:r>
    </w:p>
    <w:p w14:paraId="68AC4A0D"/>
    <w:p w14:paraId="3F2A8E08">
      <w:pPr>
        <w:spacing w:line="500" w:lineRule="exact"/>
        <w:ind w:firstLine="560" w:firstLineChars="200"/>
        <w:rPr>
          <w:rFonts w:ascii="仿宋" w:hAnsi="仿宋" w:eastAsia="仿宋" w:cs="仿宋"/>
          <w:color w:val="FF0000"/>
          <w:sz w:val="28"/>
          <w:szCs w:val="28"/>
        </w:rPr>
      </w:pPr>
    </w:p>
    <w:p w14:paraId="3D952F3D">
      <w:pPr>
        <w:spacing w:line="500" w:lineRule="exact"/>
        <w:ind w:firstLine="560" w:firstLineChars="200"/>
        <w:rPr>
          <w:rFonts w:ascii="仿宋" w:hAnsi="仿宋" w:eastAsia="仿宋" w:cs="仿宋"/>
          <w:color w:val="FF0000"/>
          <w:sz w:val="28"/>
          <w:szCs w:val="28"/>
        </w:rPr>
      </w:pPr>
    </w:p>
    <w:p w14:paraId="438A8A92">
      <w:pPr>
        <w:spacing w:line="500" w:lineRule="exact"/>
        <w:ind w:firstLine="560" w:firstLineChars="200"/>
        <w:rPr>
          <w:rFonts w:ascii="仿宋" w:hAnsi="仿宋" w:eastAsia="仿宋" w:cs="仿宋"/>
          <w:color w:val="FF0000"/>
          <w:sz w:val="28"/>
          <w:szCs w:val="28"/>
        </w:rPr>
      </w:pPr>
    </w:p>
    <w:p w14:paraId="6352BDF2">
      <w:pPr>
        <w:spacing w:line="500" w:lineRule="exact"/>
        <w:ind w:firstLine="560" w:firstLineChars="200"/>
        <w:rPr>
          <w:rFonts w:ascii="仿宋" w:hAnsi="仿宋" w:eastAsia="仿宋" w:cs="仿宋"/>
          <w:color w:val="FF0000"/>
          <w:sz w:val="28"/>
          <w:szCs w:val="28"/>
        </w:rPr>
      </w:pPr>
    </w:p>
    <w:p w14:paraId="5B41A69C">
      <w:pPr>
        <w:spacing w:line="500" w:lineRule="exact"/>
        <w:ind w:firstLine="560" w:firstLineChars="200"/>
        <w:rPr>
          <w:rFonts w:ascii="仿宋" w:hAnsi="仿宋" w:eastAsia="仿宋" w:cs="仿宋"/>
          <w:color w:val="FF0000"/>
          <w:sz w:val="28"/>
          <w:szCs w:val="28"/>
        </w:rPr>
      </w:pPr>
    </w:p>
    <w:p w14:paraId="53FE2D39">
      <w:pPr>
        <w:spacing w:line="500" w:lineRule="exact"/>
        <w:ind w:firstLine="560" w:firstLineChars="200"/>
        <w:rPr>
          <w:rFonts w:ascii="仿宋" w:hAnsi="仿宋" w:eastAsia="仿宋" w:cs="仿宋"/>
          <w:color w:val="FF0000"/>
          <w:sz w:val="28"/>
          <w:szCs w:val="28"/>
        </w:rPr>
      </w:pPr>
    </w:p>
    <w:p w14:paraId="4A13D1CF">
      <w:pPr>
        <w:spacing w:line="500" w:lineRule="exact"/>
        <w:ind w:firstLine="560" w:firstLineChars="200"/>
        <w:rPr>
          <w:rFonts w:ascii="仿宋" w:hAnsi="仿宋" w:eastAsia="仿宋" w:cs="仿宋"/>
          <w:color w:val="FF0000"/>
          <w:sz w:val="28"/>
          <w:szCs w:val="28"/>
        </w:rPr>
      </w:pPr>
    </w:p>
    <w:p w14:paraId="357BDE3F">
      <w:pPr>
        <w:spacing w:line="500" w:lineRule="exact"/>
        <w:ind w:firstLine="560" w:firstLineChars="200"/>
        <w:rPr>
          <w:rFonts w:ascii="仿宋" w:hAnsi="仿宋" w:eastAsia="仿宋" w:cs="仿宋"/>
          <w:color w:val="FF0000"/>
          <w:sz w:val="28"/>
          <w:szCs w:val="28"/>
        </w:rPr>
      </w:pPr>
    </w:p>
    <w:p w14:paraId="54C0DD1A">
      <w:pPr>
        <w:spacing w:line="500" w:lineRule="exact"/>
        <w:ind w:firstLine="560" w:firstLineChars="200"/>
        <w:rPr>
          <w:rFonts w:ascii="仿宋" w:hAnsi="仿宋" w:eastAsia="仿宋" w:cs="仿宋"/>
          <w:color w:val="FF0000"/>
          <w:sz w:val="28"/>
          <w:szCs w:val="28"/>
        </w:rPr>
      </w:pPr>
    </w:p>
    <w:p w14:paraId="414E0577">
      <w:pPr>
        <w:spacing w:line="500" w:lineRule="exact"/>
        <w:ind w:firstLine="560" w:firstLineChars="200"/>
        <w:rPr>
          <w:rFonts w:ascii="仿宋" w:hAnsi="仿宋" w:eastAsia="仿宋" w:cs="仿宋"/>
          <w:color w:val="FF0000"/>
          <w:sz w:val="28"/>
          <w:szCs w:val="28"/>
        </w:rPr>
      </w:pPr>
    </w:p>
    <w:p w14:paraId="1B25669D">
      <w:pPr>
        <w:spacing w:line="500" w:lineRule="exact"/>
        <w:ind w:firstLine="560" w:firstLineChars="200"/>
        <w:rPr>
          <w:rFonts w:ascii="仿宋" w:hAnsi="仿宋" w:eastAsia="仿宋" w:cs="仿宋"/>
          <w:color w:val="FF0000"/>
          <w:sz w:val="28"/>
          <w:szCs w:val="28"/>
        </w:rPr>
      </w:pPr>
    </w:p>
    <w:p w14:paraId="61CC7604">
      <w:pPr>
        <w:spacing w:line="500" w:lineRule="exact"/>
        <w:ind w:firstLine="560" w:firstLineChars="200"/>
        <w:rPr>
          <w:rFonts w:ascii="仿宋" w:hAnsi="仿宋" w:eastAsia="仿宋" w:cs="仿宋"/>
          <w:color w:val="FF0000"/>
          <w:sz w:val="28"/>
          <w:szCs w:val="28"/>
        </w:rPr>
      </w:pPr>
    </w:p>
    <w:p w14:paraId="34FE388E">
      <w:pPr>
        <w:spacing w:line="500" w:lineRule="exact"/>
        <w:ind w:firstLine="560" w:firstLineChars="200"/>
        <w:rPr>
          <w:rFonts w:ascii="仿宋" w:hAnsi="仿宋" w:eastAsia="仿宋" w:cs="仿宋"/>
          <w:color w:val="FF0000"/>
          <w:sz w:val="28"/>
          <w:szCs w:val="28"/>
        </w:rPr>
      </w:pPr>
    </w:p>
    <w:p w14:paraId="79A42965">
      <w:pPr>
        <w:spacing w:line="500" w:lineRule="exact"/>
        <w:ind w:firstLine="560" w:firstLineChars="200"/>
        <w:rPr>
          <w:rFonts w:ascii="仿宋" w:hAnsi="仿宋" w:eastAsia="仿宋" w:cs="仿宋"/>
          <w:color w:val="FF0000"/>
          <w:sz w:val="28"/>
          <w:szCs w:val="28"/>
        </w:rPr>
      </w:pPr>
    </w:p>
    <w:p w14:paraId="1B7A8F57">
      <w:pPr>
        <w:spacing w:line="500" w:lineRule="exact"/>
        <w:ind w:firstLine="560" w:firstLineChars="200"/>
        <w:rPr>
          <w:rFonts w:ascii="仿宋" w:hAnsi="仿宋" w:eastAsia="仿宋" w:cs="仿宋"/>
          <w:color w:val="FF0000"/>
          <w:sz w:val="28"/>
          <w:szCs w:val="28"/>
        </w:rPr>
      </w:pPr>
    </w:p>
    <w:p w14:paraId="06AF1702">
      <w:pPr>
        <w:spacing w:line="500" w:lineRule="exact"/>
        <w:ind w:firstLine="560" w:firstLineChars="200"/>
        <w:rPr>
          <w:rFonts w:ascii="仿宋" w:hAnsi="仿宋" w:eastAsia="仿宋" w:cs="仿宋"/>
          <w:color w:val="FF0000"/>
          <w:sz w:val="28"/>
          <w:szCs w:val="28"/>
        </w:rPr>
      </w:pPr>
    </w:p>
    <w:p w14:paraId="0BDC8D90">
      <w:pPr>
        <w:spacing w:line="500" w:lineRule="exact"/>
        <w:ind w:firstLine="560" w:firstLineChars="200"/>
        <w:rPr>
          <w:rFonts w:ascii="仿宋" w:hAnsi="仿宋" w:eastAsia="仿宋" w:cs="仿宋"/>
          <w:color w:val="FF0000"/>
          <w:sz w:val="28"/>
          <w:szCs w:val="28"/>
        </w:rPr>
      </w:pPr>
    </w:p>
    <w:p w14:paraId="64CE52A8">
      <w:pPr>
        <w:spacing w:line="500" w:lineRule="exact"/>
        <w:ind w:firstLine="560" w:firstLineChars="200"/>
        <w:rPr>
          <w:rFonts w:ascii="仿宋" w:hAnsi="仿宋" w:eastAsia="仿宋" w:cs="仿宋"/>
          <w:color w:val="FF0000"/>
          <w:sz w:val="28"/>
          <w:szCs w:val="28"/>
        </w:rPr>
      </w:pPr>
    </w:p>
    <w:p w14:paraId="45593671">
      <w:pPr>
        <w:spacing w:line="500" w:lineRule="exact"/>
        <w:ind w:firstLine="560" w:firstLineChars="200"/>
        <w:rPr>
          <w:rFonts w:ascii="仿宋" w:hAnsi="仿宋" w:eastAsia="仿宋" w:cs="仿宋"/>
          <w:color w:val="FF0000"/>
          <w:sz w:val="28"/>
          <w:szCs w:val="28"/>
        </w:rPr>
      </w:pPr>
    </w:p>
    <w:p w14:paraId="77CB6AD4">
      <w:pPr>
        <w:spacing w:line="500" w:lineRule="exact"/>
        <w:ind w:firstLine="560" w:firstLineChars="200"/>
        <w:rPr>
          <w:rFonts w:ascii="仿宋" w:hAnsi="仿宋" w:eastAsia="仿宋" w:cs="仿宋"/>
          <w:color w:val="FF0000"/>
          <w:sz w:val="28"/>
          <w:szCs w:val="28"/>
        </w:rPr>
      </w:pPr>
    </w:p>
    <w:p w14:paraId="70A90B6F">
      <w:pPr>
        <w:spacing w:line="500" w:lineRule="exact"/>
        <w:ind w:firstLine="560" w:firstLineChars="200"/>
        <w:rPr>
          <w:rFonts w:ascii="仿宋" w:hAnsi="仿宋" w:eastAsia="仿宋" w:cs="仿宋"/>
          <w:color w:val="FF0000"/>
          <w:sz w:val="28"/>
          <w:szCs w:val="28"/>
        </w:rPr>
      </w:pPr>
    </w:p>
    <w:p w14:paraId="0EBB6CFF">
      <w:pPr>
        <w:spacing w:line="500" w:lineRule="exact"/>
        <w:ind w:firstLine="560" w:firstLineChars="200"/>
        <w:rPr>
          <w:rFonts w:ascii="仿宋" w:hAnsi="仿宋" w:eastAsia="仿宋" w:cs="仿宋"/>
          <w:color w:val="FF0000"/>
          <w:sz w:val="28"/>
          <w:szCs w:val="28"/>
        </w:rPr>
      </w:pPr>
    </w:p>
    <w:p w14:paraId="4245B946">
      <w:pPr>
        <w:autoSpaceDN w:val="0"/>
        <w:spacing w:line="580" w:lineRule="exact"/>
        <w:jc w:val="center"/>
        <w:rPr>
          <w:rFonts w:ascii="方正小标宋_GBK" w:hAnsi="Times New Roman" w:eastAsia="方正小标宋_GBK" w:cs="Times New Roman"/>
          <w:snapToGrid w:val="0"/>
          <w:kern w:val="0"/>
          <w:sz w:val="36"/>
          <w:szCs w:val="36"/>
        </w:rPr>
      </w:pPr>
      <w:r>
        <w:rPr>
          <w:rFonts w:hint="eastAsia" w:ascii="方正小标宋_GBK" w:hAnsi="等线" w:eastAsia="方正小标宋_GBK" w:cs="Times New Roman"/>
          <w:sz w:val="32"/>
          <w:szCs w:val="32"/>
        </w:rPr>
        <w:t>202</w:t>
      </w:r>
      <w:r>
        <w:rPr>
          <w:rFonts w:ascii="方正小标宋_GBK" w:hAnsi="等线" w:eastAsia="方正小标宋_GBK" w:cs="Times New Roman"/>
          <w:sz w:val="32"/>
          <w:szCs w:val="32"/>
        </w:rPr>
        <w:t>6</w:t>
      </w:r>
      <w:r>
        <w:rPr>
          <w:rFonts w:hint="eastAsia" w:ascii="方正小标宋_GBK" w:hAnsi="等线" w:eastAsia="方正小标宋_GBK" w:cs="Times New Roman"/>
          <w:sz w:val="32"/>
          <w:szCs w:val="32"/>
        </w:rPr>
        <w:t>-202</w:t>
      </w:r>
      <w:r>
        <w:rPr>
          <w:rFonts w:ascii="方正小标宋_GBK" w:hAnsi="等线" w:eastAsia="方正小标宋_GBK" w:cs="Times New Roman"/>
          <w:sz w:val="32"/>
          <w:szCs w:val="32"/>
        </w:rPr>
        <w:t>7</w:t>
      </w:r>
      <w:r>
        <w:rPr>
          <w:rFonts w:hint="eastAsia" w:ascii="方正小标宋_GBK" w:hAnsi="等线" w:eastAsia="方正小标宋_GBK" w:cs="Times New Roman"/>
          <w:sz w:val="32"/>
          <w:szCs w:val="32"/>
        </w:rPr>
        <w:t>年度苏州大学食堂伙食物资供应商评分标准</w:t>
      </w:r>
    </w:p>
    <w:p w14:paraId="07E189BA">
      <w:pPr>
        <w:autoSpaceDN w:val="0"/>
        <w:spacing w:line="500" w:lineRule="exact"/>
        <w:jc w:val="center"/>
        <w:rPr>
          <w:rFonts w:ascii="Times New Roman" w:hAnsi="Times New Roman" w:eastAsia="仿宋" w:cs="Times New Roman"/>
          <w:b/>
          <w:sz w:val="28"/>
          <w:szCs w:val="28"/>
        </w:rPr>
      </w:pPr>
      <w:r>
        <w:rPr>
          <w:rFonts w:ascii="Times New Roman" w:hAnsi="Times New Roman" w:eastAsia="仿宋" w:cs="Times New Roman"/>
          <w:b/>
          <w:sz w:val="28"/>
          <w:szCs w:val="28"/>
        </w:rPr>
        <w:t>（适用于</w:t>
      </w:r>
      <w:bookmarkStart w:id="5" w:name="OLE_LINK1"/>
      <w:r>
        <w:rPr>
          <w:rFonts w:ascii="Times New Roman" w:hAnsi="Times New Roman" w:eastAsia="仿宋" w:cs="Times New Roman"/>
          <w:b/>
          <w:sz w:val="28"/>
          <w:szCs w:val="28"/>
        </w:rPr>
        <w:t>标段3：鲜肉；标段4：蔬菜、鸡蛋；标段5：冷荤制品、冷冻半成品；标段6：水产品；标段7：调味品、南北货、米面制品；标段8：乳制品</w:t>
      </w:r>
      <w:bookmarkEnd w:id="5"/>
      <w:r>
        <w:rPr>
          <w:rFonts w:ascii="Times New Roman" w:hAnsi="Times New Roman" w:eastAsia="仿宋" w:cs="Times New Roman"/>
          <w:b/>
          <w:sz w:val="28"/>
          <w:szCs w:val="28"/>
        </w:rPr>
        <w:t>）</w:t>
      </w:r>
    </w:p>
    <w:p w14:paraId="726D4922">
      <w:pPr>
        <w:snapToGrid w:val="0"/>
        <w:spacing w:line="500" w:lineRule="exact"/>
        <w:ind w:firstLine="560" w:firstLineChars="200"/>
        <w:jc w:val="left"/>
        <w:rPr>
          <w:rFonts w:ascii="Times New Roman" w:hAnsi="Times New Roman" w:eastAsia="仿宋" w:cs="Times New Roman"/>
          <w:bCs/>
          <w:color w:val="000000"/>
          <w:kern w:val="0"/>
          <w:sz w:val="28"/>
          <w:szCs w:val="28"/>
        </w:rPr>
      </w:pPr>
      <w:r>
        <w:rPr>
          <w:rFonts w:ascii="Times New Roman" w:hAnsi="Times New Roman" w:eastAsia="仿宋" w:cs="Times New Roman"/>
          <w:bCs/>
          <w:color w:val="000000"/>
          <w:kern w:val="0"/>
          <w:sz w:val="28"/>
          <w:szCs w:val="28"/>
        </w:rPr>
        <w:t>本次招标采用综合评分法，总分为100分，具体内容如下：</w:t>
      </w:r>
    </w:p>
    <w:p w14:paraId="659B8FC4">
      <w:pPr>
        <w:snapToGrid w:val="0"/>
        <w:spacing w:line="500" w:lineRule="exact"/>
        <w:ind w:firstLine="560" w:firstLineChars="200"/>
        <w:jc w:val="left"/>
        <w:rPr>
          <w:rFonts w:ascii="Times New Roman" w:hAnsi="Times New Roman" w:eastAsia="仿宋" w:cs="Times New Roman"/>
          <w:color w:val="000000"/>
          <w:kern w:val="0"/>
          <w:sz w:val="28"/>
          <w:szCs w:val="28"/>
        </w:rPr>
      </w:pPr>
      <w:r>
        <w:rPr>
          <w:rFonts w:ascii="Times New Roman" w:hAnsi="Times New Roman" w:eastAsia="仿宋" w:cs="Times New Roman"/>
          <w:color w:val="000000"/>
          <w:kern w:val="0"/>
          <w:sz w:val="28"/>
          <w:szCs w:val="28"/>
        </w:rPr>
        <w:t>（一）价格分（35分）</w:t>
      </w:r>
    </w:p>
    <w:p w14:paraId="1BE73A22">
      <w:pPr>
        <w:snapToGrid w:val="0"/>
        <w:spacing w:line="500" w:lineRule="exact"/>
        <w:ind w:firstLine="560" w:firstLineChars="200"/>
        <w:rPr>
          <w:rFonts w:ascii="Times New Roman" w:hAnsi="Times New Roman" w:eastAsia="仿宋" w:cs="Times New Roman"/>
          <w:b/>
          <w:bCs/>
          <w:color w:val="000000"/>
          <w:kern w:val="0"/>
          <w:sz w:val="28"/>
          <w:szCs w:val="28"/>
        </w:rPr>
      </w:pPr>
      <w:r>
        <w:rPr>
          <w:rFonts w:ascii="Times New Roman" w:hAnsi="Times New Roman" w:eastAsia="仿宋" w:cs="Times New Roman"/>
          <w:bCs/>
          <w:color w:val="000000"/>
          <w:kern w:val="0"/>
          <w:sz w:val="28"/>
          <w:szCs w:val="28"/>
        </w:rPr>
        <w:t>1.按照标的物清单各项明细，逐项计算价格分；</w:t>
      </w:r>
      <w:r>
        <w:rPr>
          <w:rFonts w:ascii="Times New Roman" w:hAnsi="Times New Roman" w:eastAsia="仿宋" w:cs="Times New Roman"/>
          <w:b/>
          <w:bCs/>
          <w:color w:val="000000"/>
          <w:kern w:val="0"/>
          <w:sz w:val="28"/>
          <w:szCs w:val="28"/>
        </w:rPr>
        <w:t>第4、8标段以下浮率作为报价。</w:t>
      </w:r>
    </w:p>
    <w:p w14:paraId="10ADDB5C">
      <w:pPr>
        <w:snapToGrid w:val="0"/>
        <w:spacing w:line="500" w:lineRule="exact"/>
        <w:ind w:firstLine="562" w:firstLineChars="200"/>
        <w:rPr>
          <w:rFonts w:ascii="Times New Roman" w:hAnsi="Times New Roman" w:eastAsia="仿宋" w:cs="Times New Roman"/>
          <w:bCs/>
          <w:color w:val="000000"/>
          <w:kern w:val="0"/>
          <w:sz w:val="28"/>
          <w:szCs w:val="28"/>
        </w:rPr>
      </w:pPr>
      <w:r>
        <w:rPr>
          <w:rFonts w:ascii="Times New Roman" w:hAnsi="Times New Roman" w:eastAsia="仿宋" w:cs="Times New Roman"/>
          <w:b/>
          <w:bCs/>
          <w:color w:val="000000"/>
          <w:kern w:val="0"/>
          <w:sz w:val="28"/>
          <w:szCs w:val="28"/>
        </w:rPr>
        <w:t>第4标段实际供应价格</w:t>
      </w:r>
      <w:r>
        <w:rPr>
          <w:rFonts w:ascii="Times New Roman" w:hAnsi="Times New Roman" w:eastAsia="仿宋" w:cs="Times New Roman"/>
          <w:bCs/>
          <w:color w:val="000000"/>
          <w:kern w:val="0"/>
          <w:sz w:val="28"/>
          <w:szCs w:val="28"/>
        </w:rPr>
        <w:t>（元/斤）</w:t>
      </w:r>
      <w:r>
        <w:rPr>
          <w:rFonts w:ascii="Times New Roman" w:hAnsi="Times New Roman" w:eastAsia="仿宋" w:cs="Times New Roman"/>
          <w:b/>
          <w:bCs/>
          <w:color w:val="000000"/>
          <w:kern w:val="0"/>
          <w:sz w:val="28"/>
          <w:szCs w:val="28"/>
        </w:rPr>
        <w:t>=</w:t>
      </w:r>
      <w:bookmarkStart w:id="6" w:name="_Hlk235180769"/>
      <w:r>
        <w:rPr>
          <w:rFonts w:ascii="Times New Roman" w:hAnsi="Times New Roman" w:eastAsia="仿宋" w:cs="Times New Roman"/>
          <w:bCs/>
          <w:color w:val="FF0000"/>
          <w:kern w:val="0"/>
          <w:sz w:val="28"/>
          <w:szCs w:val="28"/>
        </w:rPr>
        <w:t>苏州市发展和改革委员会网站</w:t>
      </w:r>
      <w:r>
        <w:rPr>
          <w:rFonts w:ascii="Times New Roman" w:hAnsi="Times New Roman" w:eastAsia="仿宋" w:cs="Times New Roman"/>
          <w:b/>
          <w:bCs/>
          <w:color w:val="FF0000"/>
          <w:kern w:val="0"/>
          <w:sz w:val="28"/>
          <w:szCs w:val="28"/>
        </w:rPr>
        <w:t>每周三</w:t>
      </w:r>
      <w:bookmarkEnd w:id="6"/>
      <w:r>
        <w:rPr>
          <w:rFonts w:ascii="Times New Roman" w:hAnsi="Times New Roman" w:eastAsia="仿宋" w:cs="Times New Roman"/>
          <w:b/>
          <w:bCs/>
          <w:color w:val="FF0000"/>
          <w:kern w:val="0"/>
          <w:sz w:val="28"/>
          <w:szCs w:val="28"/>
        </w:rPr>
        <w:t>公布苏州市部分农贸市场零售均价*（1-下浮率）</w:t>
      </w:r>
      <w:r>
        <w:rPr>
          <w:rFonts w:ascii="Times New Roman" w:hAnsi="Times New Roman" w:eastAsia="仿宋" w:cs="Times New Roman"/>
          <w:bCs/>
          <w:color w:val="000000"/>
          <w:kern w:val="0"/>
          <w:sz w:val="28"/>
          <w:szCs w:val="28"/>
        </w:rPr>
        <w:t>。</w:t>
      </w:r>
    </w:p>
    <w:p w14:paraId="78C503F4">
      <w:pPr>
        <w:snapToGrid w:val="0"/>
        <w:spacing w:line="500" w:lineRule="exact"/>
        <w:ind w:firstLine="562" w:firstLineChars="200"/>
        <w:rPr>
          <w:rFonts w:ascii="Times New Roman" w:hAnsi="Times New Roman" w:eastAsia="仿宋" w:cs="Times New Roman"/>
          <w:bCs/>
          <w:color w:val="000000"/>
          <w:kern w:val="0"/>
          <w:sz w:val="28"/>
          <w:szCs w:val="28"/>
        </w:rPr>
      </w:pPr>
      <w:r>
        <w:rPr>
          <w:rFonts w:ascii="Times New Roman" w:hAnsi="Times New Roman" w:eastAsia="仿宋" w:cs="Times New Roman"/>
          <w:b/>
          <w:bCs/>
          <w:color w:val="000000"/>
          <w:kern w:val="0"/>
          <w:sz w:val="28"/>
          <w:szCs w:val="28"/>
        </w:rPr>
        <w:t>第8标段实际供应价格</w:t>
      </w:r>
      <w:r>
        <w:rPr>
          <w:rFonts w:ascii="Times New Roman" w:hAnsi="Times New Roman" w:eastAsia="仿宋" w:cs="Times New Roman"/>
          <w:bCs/>
          <w:color w:val="000000"/>
          <w:kern w:val="0"/>
          <w:sz w:val="28"/>
          <w:szCs w:val="28"/>
        </w:rPr>
        <w:t>=</w:t>
      </w:r>
      <w:r>
        <w:rPr>
          <w:rFonts w:ascii="Times New Roman" w:hAnsi="Times New Roman" w:eastAsia="仿宋" w:cs="Times New Roman"/>
          <w:b/>
          <w:bCs/>
          <w:color w:val="FF0000"/>
          <w:kern w:val="0"/>
          <w:sz w:val="28"/>
          <w:szCs w:val="28"/>
        </w:rPr>
        <w:t>所投产品生产厂商权威发布的零售价</w:t>
      </w:r>
      <w:r>
        <w:rPr>
          <w:rFonts w:ascii="Times New Roman" w:hAnsi="Times New Roman" w:eastAsia="仿宋" w:cs="Times New Roman"/>
          <w:bCs/>
          <w:color w:val="FF0000"/>
          <w:kern w:val="0"/>
          <w:sz w:val="28"/>
          <w:szCs w:val="28"/>
        </w:rPr>
        <w:t>*</w:t>
      </w:r>
      <w:r>
        <w:rPr>
          <w:rFonts w:ascii="Times New Roman" w:hAnsi="Times New Roman" w:eastAsia="仿宋" w:cs="Times New Roman"/>
          <w:b/>
          <w:bCs/>
          <w:color w:val="FF0000"/>
          <w:kern w:val="0"/>
          <w:sz w:val="28"/>
          <w:szCs w:val="28"/>
        </w:rPr>
        <w:t>（1-下浮率）</w:t>
      </w:r>
      <w:r>
        <w:rPr>
          <w:rFonts w:ascii="Times New Roman" w:hAnsi="Times New Roman" w:eastAsia="仿宋" w:cs="Times New Roman"/>
          <w:bCs/>
          <w:color w:val="000000"/>
          <w:kern w:val="0"/>
          <w:sz w:val="28"/>
          <w:szCs w:val="28"/>
        </w:rPr>
        <w:t>。</w:t>
      </w:r>
    </w:p>
    <w:p w14:paraId="393595F0">
      <w:pPr>
        <w:snapToGrid w:val="0"/>
        <w:spacing w:line="500" w:lineRule="exact"/>
        <w:ind w:firstLine="560" w:firstLineChars="200"/>
        <w:rPr>
          <w:rFonts w:ascii="Times New Roman" w:hAnsi="Times New Roman" w:eastAsia="仿宋" w:cs="Times New Roman"/>
          <w:bCs/>
          <w:color w:val="000000"/>
          <w:kern w:val="0"/>
          <w:sz w:val="28"/>
          <w:szCs w:val="28"/>
        </w:rPr>
      </w:pPr>
      <w:r>
        <w:rPr>
          <w:rFonts w:ascii="Times New Roman" w:hAnsi="Times New Roman" w:eastAsia="仿宋" w:cs="Times New Roman"/>
          <w:bCs/>
          <w:color w:val="000000"/>
          <w:kern w:val="0"/>
          <w:sz w:val="28"/>
          <w:szCs w:val="28"/>
        </w:rPr>
        <w:t>2.</w:t>
      </w:r>
      <w:r>
        <w:rPr>
          <w:rFonts w:ascii="Times New Roman" w:hAnsi="Times New Roman" w:eastAsia="仿宋" w:cs="Times New Roman"/>
          <w:sz w:val="28"/>
          <w:szCs w:val="28"/>
        </w:rPr>
        <w:t>在所有投标单位标的物清单各项明细报价中</w:t>
      </w:r>
      <w:r>
        <w:rPr>
          <w:rFonts w:hint="eastAsia" w:ascii="仿宋" w:hAnsi="仿宋" w:eastAsia="仿宋" w:cs="Times New Roman"/>
          <w:b/>
          <w:color w:val="000000"/>
          <w:kern w:val="0"/>
          <w:sz w:val="28"/>
          <w:szCs w:val="28"/>
        </w:rPr>
        <w:t>选择最低的报价</w:t>
      </w:r>
      <w:r>
        <w:rPr>
          <w:rFonts w:ascii="Times New Roman" w:hAnsi="Times New Roman" w:eastAsia="仿宋" w:cs="Times New Roman"/>
          <w:b/>
          <w:bCs/>
          <w:color w:val="000000"/>
          <w:kern w:val="0"/>
          <w:sz w:val="28"/>
          <w:szCs w:val="28"/>
        </w:rPr>
        <w:t>或最高下浮率确定为该项明细报价的基准报价</w:t>
      </w:r>
      <w:r>
        <w:rPr>
          <w:rFonts w:ascii="Times New Roman" w:hAnsi="Times New Roman" w:eastAsia="仿宋" w:cs="Times New Roman"/>
          <w:sz w:val="28"/>
          <w:szCs w:val="28"/>
        </w:rPr>
        <w:t>。（举例说明：若甲供应商报下浮率5%，乙供应商报下浮率10%，则最高下浮率为10%）</w:t>
      </w:r>
    </w:p>
    <w:p w14:paraId="57C5DA0C">
      <w:pPr>
        <w:snapToGrid w:val="0"/>
        <w:spacing w:line="500" w:lineRule="exact"/>
        <w:ind w:firstLine="560" w:firstLineChars="200"/>
        <w:rPr>
          <w:rFonts w:ascii="Times New Roman" w:hAnsi="Times New Roman" w:eastAsia="仿宋" w:cs="Times New Roman"/>
          <w:sz w:val="28"/>
          <w:szCs w:val="28"/>
        </w:rPr>
      </w:pPr>
      <w:r>
        <w:rPr>
          <w:rFonts w:ascii="Times New Roman" w:hAnsi="Times New Roman" w:eastAsia="仿宋" w:cs="Times New Roman"/>
          <w:bCs/>
          <w:color w:val="000000"/>
          <w:kern w:val="0"/>
          <w:sz w:val="28"/>
          <w:szCs w:val="28"/>
        </w:rPr>
        <w:t>3</w:t>
      </w:r>
      <w:r>
        <w:rPr>
          <w:rFonts w:ascii="Times New Roman" w:hAnsi="Times New Roman" w:eastAsia="仿宋" w:cs="Times New Roman"/>
          <w:sz w:val="28"/>
          <w:szCs w:val="28"/>
        </w:rPr>
        <w:t>.将该项明细项所有合格投标人报价与该明细项的基准报价相比较：等于基准报价的该项明细得满分，其他投标人的该项明细价格分按照下列公式计算（计算结果四舍五入保留两位小数）：</w:t>
      </w:r>
    </w:p>
    <w:p w14:paraId="5C4AF199">
      <w:pPr>
        <w:snapToGrid w:val="0"/>
        <w:spacing w:line="500" w:lineRule="exact"/>
        <w:ind w:firstLine="562" w:firstLineChars="200"/>
        <w:rPr>
          <w:rFonts w:ascii="Times New Roman" w:hAnsi="Times New Roman" w:eastAsia="仿宋" w:cs="Times New Roman"/>
          <w:b/>
          <w:bCs/>
          <w:sz w:val="28"/>
          <w:szCs w:val="28"/>
        </w:rPr>
      </w:pPr>
      <w:r>
        <w:rPr>
          <w:rFonts w:ascii="Times New Roman" w:hAnsi="Times New Roman" w:eastAsia="仿宋" w:cs="Times New Roman"/>
          <w:b/>
          <w:bCs/>
          <w:sz w:val="28"/>
          <w:szCs w:val="28"/>
        </w:rPr>
        <w:t>（1）适用于标段3、5</w:t>
      </w:r>
      <w:r>
        <w:rPr>
          <w:rFonts w:hint="eastAsia" w:ascii="Times New Roman" w:hAnsi="Times New Roman" w:eastAsia="仿宋" w:cs="Times New Roman"/>
          <w:b/>
          <w:bCs/>
          <w:sz w:val="28"/>
          <w:szCs w:val="28"/>
        </w:rPr>
        <w:t>、6、</w:t>
      </w:r>
      <w:r>
        <w:rPr>
          <w:rFonts w:ascii="Times New Roman" w:hAnsi="Times New Roman" w:eastAsia="仿宋" w:cs="Times New Roman"/>
          <w:b/>
          <w:bCs/>
          <w:sz w:val="28"/>
          <w:szCs w:val="28"/>
        </w:rPr>
        <w:t>7：明细项投标报价得分＝（明细项基准报价/明细项投标报价）×35%×100</w:t>
      </w:r>
    </w:p>
    <w:p w14:paraId="4223625C">
      <w:pPr>
        <w:snapToGrid w:val="0"/>
        <w:spacing w:line="500" w:lineRule="exact"/>
        <w:ind w:firstLine="562" w:firstLineChars="200"/>
        <w:rPr>
          <w:rFonts w:ascii="Times New Roman" w:hAnsi="Times New Roman" w:eastAsia="仿宋" w:cs="Times New Roman"/>
          <w:b/>
          <w:bCs/>
          <w:sz w:val="28"/>
          <w:szCs w:val="28"/>
        </w:rPr>
      </w:pPr>
      <w:r>
        <w:rPr>
          <w:rFonts w:ascii="Times New Roman" w:hAnsi="Times New Roman" w:eastAsia="仿宋" w:cs="Times New Roman"/>
          <w:b/>
          <w:bCs/>
          <w:sz w:val="28"/>
          <w:szCs w:val="28"/>
        </w:rPr>
        <w:t>（2）适用于标段4、8：明细项投标报价得分＝（投标下浮率/基准下浮率）×35%×100</w:t>
      </w:r>
    </w:p>
    <w:p w14:paraId="62812CDA">
      <w:pPr>
        <w:snapToGrid w:val="0"/>
        <w:spacing w:line="500" w:lineRule="exact"/>
        <w:ind w:firstLine="562" w:firstLineChars="200"/>
        <w:rPr>
          <w:rFonts w:ascii="Times New Roman" w:hAnsi="Times New Roman" w:eastAsia="仿宋" w:cs="Times New Roman"/>
          <w:b/>
          <w:bCs/>
          <w:color w:val="000000"/>
          <w:kern w:val="0"/>
          <w:sz w:val="28"/>
          <w:szCs w:val="28"/>
        </w:rPr>
      </w:pPr>
      <w:r>
        <w:rPr>
          <w:rFonts w:ascii="Times New Roman" w:hAnsi="Times New Roman" w:eastAsia="仿宋" w:cs="Times New Roman"/>
          <w:b/>
          <w:color w:val="000000"/>
          <w:kern w:val="0"/>
          <w:sz w:val="28"/>
          <w:szCs w:val="28"/>
        </w:rPr>
        <w:t>4.各投</w:t>
      </w:r>
      <w:r>
        <w:rPr>
          <w:rFonts w:ascii="Times New Roman" w:hAnsi="Times New Roman" w:eastAsia="仿宋" w:cs="Times New Roman"/>
          <w:b/>
          <w:bCs/>
          <w:color w:val="000000"/>
          <w:kern w:val="0"/>
          <w:sz w:val="28"/>
          <w:szCs w:val="28"/>
        </w:rPr>
        <w:t>标人投标报价得分＝各明细项投标报价得分汇总/明细项目总个数</w:t>
      </w:r>
    </w:p>
    <w:p w14:paraId="10A28156">
      <w:pPr>
        <w:snapToGrid w:val="0"/>
        <w:spacing w:line="500" w:lineRule="exact"/>
        <w:ind w:firstLine="562" w:firstLineChars="200"/>
        <w:rPr>
          <w:rFonts w:ascii="仿宋" w:hAnsi="仿宋" w:eastAsia="仿宋" w:cs="仿宋"/>
          <w:b/>
          <w:bCs/>
          <w:color w:val="FF0000"/>
          <w:kern w:val="0"/>
          <w:sz w:val="28"/>
          <w:szCs w:val="28"/>
        </w:rPr>
      </w:pPr>
      <w:r>
        <w:rPr>
          <w:rFonts w:hint="eastAsia" w:ascii="仿宋" w:hAnsi="仿宋" w:eastAsia="仿宋" w:cs="仿宋"/>
          <w:b/>
          <w:bCs/>
          <w:color w:val="FF0000"/>
          <w:kern w:val="0"/>
          <w:sz w:val="28"/>
          <w:szCs w:val="28"/>
        </w:rPr>
        <w:t>（1）开标后五分钟内，须将投标报价表（Excel格式），通过电子邮件发送至xnchen@suda.edu.cn。</w:t>
      </w:r>
    </w:p>
    <w:p w14:paraId="4548876D">
      <w:pPr>
        <w:spacing w:line="500" w:lineRule="exact"/>
        <w:ind w:firstLine="562" w:firstLineChars="200"/>
        <w:rPr>
          <w:rFonts w:ascii="仿宋" w:hAnsi="仿宋" w:eastAsia="仿宋" w:cs="仿宋"/>
          <w:b/>
          <w:bCs/>
          <w:color w:val="FF0000"/>
          <w:kern w:val="0"/>
          <w:sz w:val="28"/>
          <w:szCs w:val="28"/>
        </w:rPr>
      </w:pPr>
      <w:r>
        <w:rPr>
          <w:rFonts w:hint="eastAsia" w:ascii="仿宋" w:hAnsi="仿宋" w:eastAsia="仿宋" w:cs="仿宋"/>
          <w:b/>
          <w:bCs/>
          <w:color w:val="FF0000"/>
          <w:kern w:val="0"/>
          <w:sz w:val="28"/>
          <w:szCs w:val="28"/>
        </w:rPr>
        <w:t>（2）投标报价表不得作任何变更，出现以下情形之一的，均按无效投标处理：</w:t>
      </w:r>
    </w:p>
    <w:p w14:paraId="0A802982">
      <w:pPr>
        <w:spacing w:line="500" w:lineRule="exact"/>
        <w:ind w:firstLine="562" w:firstLineChars="200"/>
        <w:rPr>
          <w:rFonts w:ascii="仿宋" w:hAnsi="仿宋" w:eastAsia="仿宋" w:cs="仿宋"/>
          <w:b/>
          <w:bCs/>
          <w:color w:val="FF0000"/>
          <w:kern w:val="0"/>
          <w:sz w:val="28"/>
          <w:szCs w:val="28"/>
        </w:rPr>
      </w:pPr>
      <w:r>
        <w:rPr>
          <w:rFonts w:hint="eastAsia" w:ascii="仿宋" w:hAnsi="仿宋" w:eastAsia="仿宋" w:cs="仿宋"/>
          <w:b/>
          <w:bCs/>
          <w:color w:val="FF0000"/>
          <w:kern w:val="0"/>
          <w:sz w:val="28"/>
          <w:szCs w:val="28"/>
        </w:rPr>
        <w:t>①调整明细内容及顺序；</w:t>
      </w:r>
    </w:p>
    <w:p w14:paraId="71C50996">
      <w:pPr>
        <w:spacing w:line="500" w:lineRule="exact"/>
        <w:ind w:firstLine="562" w:firstLineChars="200"/>
        <w:rPr>
          <w:rFonts w:ascii="仿宋" w:hAnsi="仿宋" w:eastAsia="仿宋" w:cs="仿宋"/>
          <w:b/>
          <w:bCs/>
          <w:color w:val="FF0000"/>
          <w:kern w:val="0"/>
          <w:sz w:val="28"/>
          <w:szCs w:val="28"/>
        </w:rPr>
      </w:pPr>
      <w:r>
        <w:rPr>
          <w:rFonts w:hint="eastAsia" w:ascii="仿宋" w:hAnsi="仿宋" w:eastAsia="仿宋" w:cs="仿宋"/>
          <w:b/>
          <w:bCs/>
          <w:color w:val="FF0000"/>
          <w:kern w:val="0"/>
          <w:sz w:val="28"/>
          <w:szCs w:val="28"/>
        </w:rPr>
        <w:t>②少报、漏报；</w:t>
      </w:r>
    </w:p>
    <w:p w14:paraId="2F0DA386">
      <w:pPr>
        <w:spacing w:line="500" w:lineRule="exact"/>
        <w:ind w:firstLine="562" w:firstLineChars="200"/>
        <w:rPr>
          <w:rFonts w:ascii="仿宋" w:hAnsi="仿宋" w:eastAsia="仿宋" w:cs="仿宋"/>
          <w:b/>
          <w:bCs/>
          <w:sz w:val="28"/>
          <w:szCs w:val="28"/>
        </w:rPr>
      </w:pPr>
      <w:r>
        <w:rPr>
          <w:rFonts w:hint="eastAsia" w:ascii="仿宋" w:hAnsi="仿宋" w:eastAsia="仿宋" w:cs="仿宋"/>
          <w:b/>
          <w:bCs/>
          <w:color w:val="FF0000"/>
          <w:kern w:val="0"/>
          <w:sz w:val="28"/>
          <w:szCs w:val="28"/>
        </w:rPr>
        <w:t>③未按报价文件格式要求报价的其他情形。</w:t>
      </w:r>
    </w:p>
    <w:p w14:paraId="3947120A">
      <w:pPr>
        <w:snapToGrid w:val="0"/>
        <w:spacing w:line="500" w:lineRule="exact"/>
        <w:ind w:firstLine="562" w:firstLineChars="200"/>
        <w:rPr>
          <w:rFonts w:ascii="Times New Roman" w:hAnsi="Times New Roman" w:eastAsia="仿宋" w:cs="Times New Roman"/>
          <w:b/>
          <w:bCs/>
          <w:color w:val="FF0000"/>
          <w:kern w:val="0"/>
          <w:sz w:val="28"/>
          <w:szCs w:val="28"/>
        </w:rPr>
      </w:pPr>
      <w:r>
        <w:rPr>
          <w:rFonts w:ascii="Times New Roman" w:hAnsi="Times New Roman" w:eastAsia="仿宋" w:cs="Times New Roman"/>
          <w:b/>
          <w:bCs/>
          <w:kern w:val="0"/>
          <w:sz w:val="28"/>
          <w:szCs w:val="28"/>
        </w:rPr>
        <w:t>注：评标委员会认为投标单位的报价明显不合理或者低于成本，有可能影响产品质量或不能诚信履约的，投标单位须在30分钟内提供书面文件予以解释说明，并提交相关证明材料；投标单位不能证明其报价合理性的，评标委员会将其作为无效投标处理。</w:t>
      </w:r>
    </w:p>
    <w:p w14:paraId="768BD29C">
      <w:pPr>
        <w:snapToGrid w:val="0"/>
        <w:spacing w:line="500" w:lineRule="exact"/>
        <w:ind w:firstLine="560" w:firstLineChars="200"/>
        <w:rPr>
          <w:rFonts w:ascii="Times New Roman" w:hAnsi="Times New Roman" w:eastAsia="仿宋" w:cs="Times New Roman"/>
          <w:color w:val="000000"/>
          <w:kern w:val="0"/>
          <w:sz w:val="28"/>
          <w:szCs w:val="28"/>
        </w:rPr>
      </w:pPr>
      <w:r>
        <w:rPr>
          <w:rFonts w:ascii="Times New Roman" w:hAnsi="Times New Roman" w:eastAsia="仿宋" w:cs="Times New Roman"/>
          <w:color w:val="000000"/>
          <w:kern w:val="0"/>
          <w:sz w:val="28"/>
          <w:szCs w:val="28"/>
        </w:rPr>
        <w:t>（二）企业认证证书及获奖证书（5分）</w:t>
      </w:r>
    </w:p>
    <w:p w14:paraId="6D1BA7BA">
      <w:pPr>
        <w:snapToGrid w:val="0"/>
        <w:spacing w:line="500" w:lineRule="exact"/>
        <w:ind w:firstLine="560" w:firstLineChars="200"/>
        <w:rPr>
          <w:rFonts w:ascii="Times New Roman" w:hAnsi="Times New Roman" w:eastAsia="仿宋" w:cs="Times New Roman"/>
          <w:color w:val="000000"/>
          <w:kern w:val="0"/>
          <w:sz w:val="28"/>
          <w:szCs w:val="28"/>
        </w:rPr>
      </w:pPr>
      <w:r>
        <w:rPr>
          <w:rFonts w:ascii="Times New Roman" w:hAnsi="Times New Roman" w:eastAsia="仿宋" w:cs="Times New Roman"/>
          <w:color w:val="000000"/>
          <w:kern w:val="0"/>
          <w:sz w:val="28"/>
          <w:szCs w:val="28"/>
        </w:rPr>
        <w:t>1.投标单位具有ISO9001质量管理体系认证证书、HACCP或ISO22000食品安全管理体系认证证书、ISO14000环境管理体系认证证书，每提供一项有效期内证书得1分，最高得3分。</w:t>
      </w:r>
    </w:p>
    <w:p w14:paraId="104B024C">
      <w:pPr>
        <w:snapToGrid w:val="0"/>
        <w:spacing w:line="500" w:lineRule="exact"/>
        <w:ind w:firstLine="560" w:firstLineChars="200"/>
        <w:rPr>
          <w:rFonts w:ascii="Times New Roman" w:hAnsi="Times New Roman" w:eastAsia="仿宋" w:cs="Times New Roman"/>
          <w:color w:val="000000" w:themeColor="text1"/>
          <w:kern w:val="0"/>
          <w:sz w:val="28"/>
          <w:szCs w:val="28"/>
          <w14:textFill>
            <w14:solidFill>
              <w14:schemeClr w14:val="tx1"/>
            </w14:solidFill>
          </w14:textFill>
        </w:rPr>
      </w:pPr>
      <w:r>
        <w:rPr>
          <w:rFonts w:hint="eastAsia" w:ascii="仿宋" w:hAnsi="仿宋" w:eastAsia="仿宋" w:cs="仿宋"/>
          <w:kern w:val="0"/>
          <w:sz w:val="28"/>
          <w:szCs w:val="28"/>
        </w:rPr>
        <w:t>注：</w:t>
      </w:r>
      <w:r>
        <w:rPr>
          <w:rFonts w:hint="eastAsia" w:ascii="仿宋" w:hAnsi="仿宋" w:eastAsia="仿宋" w:cs="仿宋"/>
          <w:b/>
          <w:bCs/>
          <w:sz w:val="28"/>
          <w:szCs w:val="28"/>
        </w:rPr>
        <w:t>须提供有效的证书复印件及国家认监委官网查询截图，否则</w:t>
      </w:r>
      <w:r>
        <w:rPr>
          <w:rFonts w:hint="eastAsia" w:ascii="仿宋" w:hAnsi="仿宋" w:eastAsia="仿宋" w:cs="仿宋"/>
          <w:b/>
          <w:bCs/>
          <w:color w:val="000000" w:themeColor="text1"/>
          <w:sz w:val="28"/>
          <w:szCs w:val="28"/>
          <w14:textFill>
            <w14:solidFill>
              <w14:schemeClr w14:val="tx1"/>
            </w14:solidFill>
          </w14:textFill>
        </w:rPr>
        <w:t>不得分。</w:t>
      </w:r>
    </w:p>
    <w:p w14:paraId="58FE6A8D">
      <w:pPr>
        <w:snapToGrid w:val="0"/>
        <w:spacing w:line="500" w:lineRule="exact"/>
        <w:ind w:firstLine="560" w:firstLineChars="200"/>
        <w:rPr>
          <w:rFonts w:ascii="Times New Roman" w:hAnsi="Times New Roman" w:eastAsia="仿宋" w:cs="Times New Roman"/>
          <w:bCs/>
          <w:color w:val="000000" w:themeColor="text1"/>
          <w:kern w:val="0"/>
          <w:sz w:val="28"/>
          <w:szCs w:val="28"/>
          <w14:textFill>
            <w14:solidFill>
              <w14:schemeClr w14:val="tx1"/>
            </w14:solidFill>
          </w14:textFill>
        </w:rPr>
      </w:pPr>
      <w:r>
        <w:rPr>
          <w:rFonts w:hint="eastAsia" w:ascii="Times New Roman" w:hAnsi="Times New Roman" w:eastAsia="仿宋" w:cs="Times New Roman"/>
          <w:bCs/>
          <w:color w:val="000000" w:themeColor="text1"/>
          <w:kern w:val="0"/>
          <w:sz w:val="28"/>
          <w:szCs w:val="28"/>
          <w14:textFill>
            <w14:solidFill>
              <w14:schemeClr w14:val="tx1"/>
            </w14:solidFill>
          </w14:textFill>
        </w:rPr>
        <w:t>2</w:t>
      </w:r>
      <w:r>
        <w:rPr>
          <w:rFonts w:ascii="Times New Roman" w:hAnsi="Times New Roman" w:eastAsia="仿宋" w:cs="Times New Roman"/>
          <w:bCs/>
          <w:color w:val="000000" w:themeColor="text1"/>
          <w:kern w:val="0"/>
          <w:sz w:val="28"/>
          <w:szCs w:val="28"/>
          <w14:textFill>
            <w14:solidFill>
              <w14:schemeClr w14:val="tx1"/>
            </w14:solidFill>
          </w14:textFill>
        </w:rPr>
        <w:t>.</w:t>
      </w:r>
      <w:r>
        <w:rPr>
          <w:rFonts w:hint="eastAsia" w:ascii="Times New Roman" w:hAnsi="Times New Roman" w:eastAsia="仿宋" w:cs="Times New Roman"/>
          <w:bCs/>
          <w:color w:val="000000" w:themeColor="text1"/>
          <w:kern w:val="0"/>
          <w:sz w:val="28"/>
          <w:szCs w:val="28"/>
          <w14:textFill>
            <w14:solidFill>
              <w14:schemeClr w14:val="tx1"/>
            </w14:solidFill>
          </w14:textFill>
        </w:rPr>
        <w:t>适用于标段3、5、8。202</w:t>
      </w:r>
      <w:r>
        <w:rPr>
          <w:rFonts w:ascii="Times New Roman" w:hAnsi="Times New Roman" w:eastAsia="仿宋" w:cs="Times New Roman"/>
          <w:bCs/>
          <w:color w:val="000000" w:themeColor="text1"/>
          <w:kern w:val="0"/>
          <w:sz w:val="28"/>
          <w:szCs w:val="28"/>
          <w14:textFill>
            <w14:solidFill>
              <w14:schemeClr w14:val="tx1"/>
            </w14:solidFill>
          </w14:textFill>
        </w:rPr>
        <w:t>3</w:t>
      </w:r>
      <w:r>
        <w:rPr>
          <w:rFonts w:hint="eastAsia" w:ascii="Times New Roman" w:hAnsi="Times New Roman" w:eastAsia="仿宋" w:cs="Times New Roman"/>
          <w:bCs/>
          <w:color w:val="000000" w:themeColor="text1"/>
          <w:kern w:val="0"/>
          <w:sz w:val="28"/>
          <w:szCs w:val="28"/>
          <w14:textFill>
            <w14:solidFill>
              <w14:schemeClr w14:val="tx1"/>
            </w14:solidFill>
          </w14:textFill>
        </w:rPr>
        <w:t>年6月以来，所投产品或产品生产企业获得过国家级荣誉得2</w:t>
      </w:r>
      <w:r>
        <w:rPr>
          <w:rFonts w:ascii="Times New Roman" w:hAnsi="Times New Roman" w:eastAsia="仿宋" w:cs="Times New Roman"/>
          <w:bCs/>
          <w:color w:val="000000" w:themeColor="text1"/>
          <w:kern w:val="0"/>
          <w:sz w:val="28"/>
          <w:szCs w:val="28"/>
          <w14:textFill>
            <w14:solidFill>
              <w14:schemeClr w14:val="tx1"/>
            </w14:solidFill>
          </w14:textFill>
        </w:rPr>
        <w:t>分</w:t>
      </w:r>
      <w:r>
        <w:rPr>
          <w:rFonts w:hint="eastAsia" w:ascii="Times New Roman" w:hAnsi="Times New Roman" w:eastAsia="仿宋" w:cs="Times New Roman"/>
          <w:bCs/>
          <w:color w:val="000000" w:themeColor="text1"/>
          <w:kern w:val="0"/>
          <w:sz w:val="28"/>
          <w:szCs w:val="28"/>
          <w14:textFill>
            <w14:solidFill>
              <w14:schemeClr w14:val="tx1"/>
            </w14:solidFill>
          </w14:textFill>
        </w:rPr>
        <w:t>；获得过省市级荣誉得1</w:t>
      </w:r>
      <w:r>
        <w:rPr>
          <w:rFonts w:ascii="Times New Roman" w:hAnsi="Times New Roman" w:eastAsia="仿宋" w:cs="Times New Roman"/>
          <w:bCs/>
          <w:color w:val="000000" w:themeColor="text1"/>
          <w:kern w:val="0"/>
          <w:sz w:val="28"/>
          <w:szCs w:val="28"/>
          <w14:textFill>
            <w14:solidFill>
              <w14:schemeClr w14:val="tx1"/>
            </w14:solidFill>
          </w14:textFill>
        </w:rPr>
        <w:t>分（</w:t>
      </w:r>
      <w:r>
        <w:rPr>
          <w:rFonts w:hint="eastAsia" w:ascii="Times New Roman" w:hAnsi="Times New Roman" w:eastAsia="仿宋" w:cs="Times New Roman"/>
          <w:bCs/>
          <w:color w:val="000000" w:themeColor="text1"/>
          <w:kern w:val="0"/>
          <w:sz w:val="28"/>
          <w:szCs w:val="28"/>
          <w14:textFill>
            <w14:solidFill>
              <w14:schemeClr w14:val="tx1"/>
            </w14:solidFill>
          </w14:textFill>
        </w:rPr>
        <w:t>以最高荣誉计分，最高得2分）。</w:t>
      </w:r>
    </w:p>
    <w:p w14:paraId="562BBA5B">
      <w:pPr>
        <w:snapToGrid w:val="0"/>
        <w:spacing w:line="500" w:lineRule="exact"/>
        <w:ind w:firstLine="560" w:firstLineChars="200"/>
        <w:rPr>
          <w:rFonts w:ascii="Times New Roman" w:hAnsi="Times New Roman" w:eastAsia="仿宋" w:cs="Times New Roman"/>
          <w:bCs/>
          <w:color w:val="000000" w:themeColor="text1"/>
          <w:kern w:val="0"/>
          <w:sz w:val="28"/>
          <w:szCs w:val="28"/>
          <w14:textFill>
            <w14:solidFill>
              <w14:schemeClr w14:val="tx1"/>
            </w14:solidFill>
          </w14:textFill>
        </w:rPr>
      </w:pPr>
      <w:bookmarkStart w:id="7" w:name="OLE_LINK7"/>
      <w:r>
        <w:rPr>
          <w:rFonts w:hint="eastAsia" w:ascii="Times New Roman" w:hAnsi="Times New Roman" w:eastAsia="仿宋" w:cs="Times New Roman"/>
          <w:bCs/>
          <w:color w:val="000000" w:themeColor="text1"/>
          <w:kern w:val="0"/>
          <w:sz w:val="28"/>
          <w:szCs w:val="28"/>
          <w14:textFill>
            <w14:solidFill>
              <w14:schemeClr w14:val="tx1"/>
            </w14:solidFill>
          </w14:textFill>
        </w:rPr>
        <w:t>3</w:t>
      </w:r>
      <w:r>
        <w:rPr>
          <w:rFonts w:ascii="Times New Roman" w:hAnsi="Times New Roman" w:eastAsia="仿宋" w:cs="Times New Roman"/>
          <w:bCs/>
          <w:color w:val="000000" w:themeColor="text1"/>
          <w:kern w:val="0"/>
          <w:sz w:val="28"/>
          <w:szCs w:val="28"/>
          <w14:textFill>
            <w14:solidFill>
              <w14:schemeClr w14:val="tx1"/>
            </w14:solidFill>
          </w14:textFill>
        </w:rPr>
        <w:t>.</w:t>
      </w:r>
      <w:r>
        <w:rPr>
          <w:rFonts w:hint="eastAsia" w:ascii="Times New Roman" w:hAnsi="Times New Roman" w:eastAsia="仿宋" w:cs="Times New Roman"/>
          <w:bCs/>
          <w:color w:val="000000" w:themeColor="text1"/>
          <w:kern w:val="0"/>
          <w:sz w:val="28"/>
          <w:szCs w:val="28"/>
          <w14:textFill>
            <w14:solidFill>
              <w14:schemeClr w14:val="tx1"/>
            </w14:solidFill>
          </w14:textFill>
        </w:rPr>
        <w:t>适用于标段4、</w:t>
      </w:r>
      <w:r>
        <w:rPr>
          <w:rFonts w:hint="eastAsia" w:ascii="Times New Roman" w:hAnsi="Times New Roman" w:eastAsia="仿宋" w:cs="Times New Roman"/>
          <w:bCs/>
          <w:color w:val="000000" w:themeColor="text1"/>
          <w:kern w:val="0"/>
          <w:sz w:val="28"/>
          <w:szCs w:val="28"/>
          <w:lang w:val="en-US" w:eastAsia="zh-CN"/>
          <w14:textFill>
            <w14:solidFill>
              <w14:schemeClr w14:val="tx1"/>
            </w14:solidFill>
          </w14:textFill>
        </w:rPr>
        <w:t>6、</w:t>
      </w:r>
      <w:r>
        <w:rPr>
          <w:rFonts w:hint="eastAsia" w:ascii="Times New Roman" w:hAnsi="Times New Roman" w:eastAsia="仿宋" w:cs="Times New Roman"/>
          <w:bCs/>
          <w:color w:val="000000" w:themeColor="text1"/>
          <w:kern w:val="0"/>
          <w:sz w:val="28"/>
          <w:szCs w:val="28"/>
          <w14:textFill>
            <w14:solidFill>
              <w14:schemeClr w14:val="tx1"/>
            </w14:solidFill>
          </w14:textFill>
        </w:rPr>
        <w:t>7。2</w:t>
      </w:r>
      <w:r>
        <w:rPr>
          <w:rFonts w:ascii="Times New Roman" w:hAnsi="Times New Roman" w:eastAsia="仿宋" w:cs="Times New Roman"/>
          <w:bCs/>
          <w:color w:val="000000" w:themeColor="text1"/>
          <w:kern w:val="0"/>
          <w:sz w:val="28"/>
          <w:szCs w:val="28"/>
          <w14:textFill>
            <w14:solidFill>
              <w14:schemeClr w14:val="tx1"/>
            </w14:solidFill>
          </w14:textFill>
        </w:rPr>
        <w:t>023</w:t>
      </w:r>
      <w:r>
        <w:rPr>
          <w:rFonts w:hint="eastAsia" w:ascii="Times New Roman" w:hAnsi="Times New Roman" w:eastAsia="仿宋" w:cs="Times New Roman"/>
          <w:bCs/>
          <w:color w:val="000000" w:themeColor="text1"/>
          <w:kern w:val="0"/>
          <w:sz w:val="28"/>
          <w:szCs w:val="28"/>
          <w14:textFill>
            <w14:solidFill>
              <w14:schemeClr w14:val="tx1"/>
            </w14:solidFill>
          </w14:textFill>
        </w:rPr>
        <w:t>年6月以来，投标单位获得政府部门颁发的奖项。每项得1分，最高得2分。</w:t>
      </w:r>
    </w:p>
    <w:bookmarkEnd w:id="7"/>
    <w:p w14:paraId="334A974A">
      <w:pPr>
        <w:snapToGrid w:val="0"/>
        <w:spacing w:line="500" w:lineRule="exact"/>
        <w:ind w:firstLine="562" w:firstLineChars="200"/>
        <w:rPr>
          <w:rFonts w:ascii="Times New Roman" w:hAnsi="Times New Roman" w:eastAsia="仿宋" w:cs="Times New Roman"/>
          <w:b/>
          <w:bCs/>
          <w:color w:val="000000" w:themeColor="text1"/>
          <w:kern w:val="0"/>
          <w:sz w:val="28"/>
          <w:szCs w:val="28"/>
          <w14:textFill>
            <w14:solidFill>
              <w14:schemeClr w14:val="tx1"/>
            </w14:solidFill>
          </w14:textFill>
        </w:rPr>
      </w:pPr>
      <w:r>
        <w:rPr>
          <w:rFonts w:ascii="Times New Roman" w:hAnsi="Times New Roman" w:eastAsia="仿宋" w:cs="Times New Roman"/>
          <w:b/>
          <w:bCs/>
          <w:color w:val="000000" w:themeColor="text1"/>
          <w:kern w:val="0"/>
          <w:sz w:val="28"/>
          <w:szCs w:val="28"/>
          <w14:textFill>
            <w14:solidFill>
              <w14:schemeClr w14:val="tx1"/>
            </w14:solidFill>
          </w14:textFill>
        </w:rPr>
        <w:t>注：</w:t>
      </w:r>
      <w:r>
        <w:rPr>
          <w:rFonts w:hint="eastAsia" w:ascii="Times New Roman" w:hAnsi="Times New Roman" w:eastAsia="仿宋" w:cs="Times New Roman"/>
          <w:b/>
          <w:bCs/>
          <w:color w:val="000000" w:themeColor="text1"/>
          <w:kern w:val="0"/>
          <w:sz w:val="28"/>
          <w:szCs w:val="28"/>
          <w14:textFill>
            <w14:solidFill>
              <w14:schemeClr w14:val="tx1"/>
            </w14:solidFill>
          </w14:textFill>
        </w:rPr>
        <w:t>以上</w:t>
      </w:r>
      <w:r>
        <w:rPr>
          <w:rFonts w:ascii="Times New Roman" w:hAnsi="Times New Roman" w:eastAsia="仿宋" w:cs="Times New Roman"/>
          <w:b/>
          <w:bCs/>
          <w:color w:val="000000" w:themeColor="text1"/>
          <w:kern w:val="0"/>
          <w:sz w:val="28"/>
          <w:szCs w:val="28"/>
          <w14:textFill>
            <w14:solidFill>
              <w14:schemeClr w14:val="tx1"/>
            </w14:solidFill>
          </w14:textFill>
        </w:rPr>
        <w:t>须提供有效的证书复印件或相关证明材料，否则不得分。</w:t>
      </w:r>
    </w:p>
    <w:p w14:paraId="4F9AB338">
      <w:pPr>
        <w:snapToGrid w:val="0"/>
        <w:spacing w:line="500" w:lineRule="exact"/>
        <w:ind w:firstLine="560" w:firstLineChars="200"/>
        <w:rPr>
          <w:rFonts w:ascii="Times New Roman" w:hAnsi="Times New Roman" w:eastAsia="仿宋" w:cs="Times New Roman"/>
          <w:bCs/>
          <w:color w:val="000000" w:themeColor="text1"/>
          <w:kern w:val="0"/>
          <w:sz w:val="28"/>
          <w:szCs w:val="28"/>
          <w14:textFill>
            <w14:solidFill>
              <w14:schemeClr w14:val="tx1"/>
            </w14:solidFill>
          </w14:textFill>
        </w:rPr>
      </w:pPr>
      <w:r>
        <w:rPr>
          <w:rFonts w:ascii="Times New Roman" w:hAnsi="Times New Roman" w:eastAsia="仿宋" w:cs="Times New Roman"/>
          <w:bCs/>
          <w:color w:val="000000" w:themeColor="text1"/>
          <w:kern w:val="0"/>
          <w:sz w:val="28"/>
          <w:szCs w:val="28"/>
          <w14:textFill>
            <w14:solidFill>
              <w14:schemeClr w14:val="tx1"/>
            </w14:solidFill>
          </w14:textFill>
        </w:rPr>
        <w:t>（三）服务业绩（20分）</w:t>
      </w:r>
    </w:p>
    <w:p w14:paraId="1288F4C4">
      <w:pPr>
        <w:spacing w:line="50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Times New Roman" w:hAnsi="Times New Roman" w:eastAsia="仿宋" w:cs="Times New Roman"/>
          <w:bCs/>
          <w:color w:val="000000" w:themeColor="text1"/>
          <w:kern w:val="0"/>
          <w:sz w:val="28"/>
          <w:szCs w:val="28"/>
          <w14:textFill>
            <w14:solidFill>
              <w14:schemeClr w14:val="tx1"/>
            </w14:solidFill>
          </w14:textFill>
        </w:rPr>
        <w:t>（1）根据投标单位提供的自202</w:t>
      </w:r>
      <w:r>
        <w:rPr>
          <w:rFonts w:ascii="Times New Roman" w:hAnsi="Times New Roman" w:eastAsia="仿宋" w:cs="Times New Roman"/>
          <w:bCs/>
          <w:color w:val="000000" w:themeColor="text1"/>
          <w:kern w:val="0"/>
          <w:sz w:val="28"/>
          <w:szCs w:val="28"/>
          <w14:textFill>
            <w14:solidFill>
              <w14:schemeClr w14:val="tx1"/>
            </w14:solidFill>
          </w14:textFill>
        </w:rPr>
        <w:t>3</w:t>
      </w:r>
      <w:r>
        <w:rPr>
          <w:rFonts w:hint="eastAsia" w:ascii="Times New Roman" w:hAnsi="Times New Roman" w:eastAsia="仿宋" w:cs="Times New Roman"/>
          <w:bCs/>
          <w:color w:val="000000" w:themeColor="text1"/>
          <w:kern w:val="0"/>
          <w:sz w:val="28"/>
          <w:szCs w:val="28"/>
          <w14:textFill>
            <w14:solidFill>
              <w14:schemeClr w14:val="tx1"/>
            </w14:solidFill>
          </w14:textFill>
        </w:rPr>
        <w:t>年6月以来（以合同签订时间为准）与企事业单位的供货证明进行评定。</w:t>
      </w:r>
      <w:r>
        <w:rPr>
          <w:rFonts w:ascii="仿宋" w:hAnsi="仿宋" w:eastAsia="仿宋" w:cs="仿宋"/>
          <w:color w:val="000000" w:themeColor="text1"/>
          <w:sz w:val="28"/>
          <w:szCs w:val="28"/>
          <w14:textFill>
            <w14:solidFill>
              <w14:schemeClr w14:val="tx1"/>
            </w14:solidFill>
          </w14:textFill>
        </w:rPr>
        <w:t>①</w:t>
      </w:r>
      <w:r>
        <w:rPr>
          <w:rFonts w:hint="eastAsia" w:ascii="仿宋" w:hAnsi="仿宋" w:eastAsia="仿宋" w:cs="仿宋"/>
          <w:color w:val="000000" w:themeColor="text1"/>
          <w:sz w:val="28"/>
          <w:szCs w:val="28"/>
          <w14:textFill>
            <w14:solidFill>
              <w14:schemeClr w14:val="tx1"/>
            </w14:solidFill>
          </w14:textFill>
        </w:rPr>
        <w:t>每项业绩的合同实际履行时间必须一年及以上；②须提供完整合同复印件；③须提供标段产品的实际供货清单，包括所投标段的品类、全部或部分品种。每提供1份完整有效业绩得1</w:t>
      </w:r>
      <w:r>
        <w:rPr>
          <w:rFonts w:ascii="仿宋" w:hAnsi="仿宋" w:eastAsia="仿宋" w:cs="仿宋"/>
          <w:color w:val="000000" w:themeColor="text1"/>
          <w:sz w:val="28"/>
          <w:szCs w:val="28"/>
          <w14:textFill>
            <w14:solidFill>
              <w14:schemeClr w14:val="tx1"/>
            </w14:solidFill>
          </w14:textFill>
        </w:rPr>
        <w:t>分，</w:t>
      </w:r>
      <w:r>
        <w:rPr>
          <w:rFonts w:hint="eastAsia" w:ascii="仿宋" w:hAnsi="仿宋" w:eastAsia="仿宋" w:cs="仿宋"/>
          <w:color w:val="000000" w:themeColor="text1"/>
          <w:sz w:val="28"/>
          <w:szCs w:val="28"/>
          <w14:textFill>
            <w14:solidFill>
              <w14:schemeClr w14:val="tx1"/>
            </w14:solidFill>
          </w14:textFill>
        </w:rPr>
        <w:t>最高得12分。</w:t>
      </w:r>
    </w:p>
    <w:p w14:paraId="5EDBD3E1">
      <w:pPr>
        <w:snapToGrid w:val="0"/>
        <w:spacing w:line="500" w:lineRule="exact"/>
        <w:ind w:firstLine="562" w:firstLineChars="200"/>
        <w:rPr>
          <w:rFonts w:ascii="Times New Roman" w:hAnsi="Times New Roman" w:eastAsia="仿宋" w:cs="Times New Roman"/>
          <w:b/>
          <w:bCs/>
          <w:color w:val="000000" w:themeColor="text1"/>
          <w:kern w:val="0"/>
          <w:sz w:val="28"/>
          <w:szCs w:val="28"/>
          <w14:textFill>
            <w14:solidFill>
              <w14:schemeClr w14:val="tx1"/>
            </w14:solidFill>
          </w14:textFill>
        </w:rPr>
      </w:pPr>
      <w:r>
        <w:rPr>
          <w:rFonts w:hint="eastAsia" w:ascii="Times New Roman" w:hAnsi="Times New Roman" w:eastAsia="仿宋" w:cs="Times New Roman"/>
          <w:b/>
          <w:bCs/>
          <w:color w:val="000000" w:themeColor="text1"/>
          <w:kern w:val="0"/>
          <w:sz w:val="28"/>
          <w:szCs w:val="28"/>
          <w14:textFill>
            <w14:solidFill>
              <w14:schemeClr w14:val="tx1"/>
            </w14:solidFill>
          </w14:textFill>
        </w:rPr>
        <w:t>注：未提供或提供不全不得分，业绩为同一服务单位的不重复计分。中标后，中标单位须提供上述合同原件供学校核查。</w:t>
      </w:r>
    </w:p>
    <w:p w14:paraId="0F214CA0">
      <w:pPr>
        <w:spacing w:line="50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（2）投标单位所提供的上述业绩，若同一服务单位的履约时间连续三年及以上的，每提供一份符合要求的得2</w:t>
      </w:r>
      <w:r>
        <w:rPr>
          <w:rFonts w:ascii="仿宋" w:hAnsi="仿宋" w:eastAsia="仿宋" w:cs="仿宋"/>
          <w:color w:val="000000" w:themeColor="text1"/>
          <w:sz w:val="28"/>
          <w:szCs w:val="28"/>
          <w14:textFill>
            <w14:solidFill>
              <w14:schemeClr w14:val="tx1"/>
            </w14:solidFill>
          </w14:textFill>
        </w:rPr>
        <w:t>分，最多</w:t>
      </w:r>
      <w:r>
        <w:rPr>
          <w:rFonts w:hint="eastAsia" w:ascii="仿宋" w:hAnsi="仿宋" w:eastAsia="仿宋" w:cs="仿宋"/>
          <w:color w:val="000000" w:themeColor="text1"/>
          <w:sz w:val="28"/>
          <w:szCs w:val="28"/>
          <w14:textFill>
            <w14:solidFill>
              <w14:schemeClr w14:val="tx1"/>
            </w14:solidFill>
          </w14:textFill>
        </w:rPr>
        <w:t>得4</w:t>
      </w:r>
      <w:r>
        <w:rPr>
          <w:rFonts w:ascii="仿宋" w:hAnsi="仿宋" w:eastAsia="仿宋" w:cs="仿宋"/>
          <w:color w:val="000000" w:themeColor="text1"/>
          <w:sz w:val="28"/>
          <w:szCs w:val="28"/>
          <w14:textFill>
            <w14:solidFill>
              <w14:schemeClr w14:val="tx1"/>
            </w14:solidFill>
          </w14:textFill>
        </w:rPr>
        <w:t>分。</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lang w:val="en-US" w:eastAsia="zh-CN"/>
          <w14:textFill>
            <w14:solidFill>
              <w14:schemeClr w14:val="tx1"/>
            </w14:solidFill>
          </w14:textFill>
        </w:rPr>
        <w:t>须</w:t>
      </w:r>
      <w:r>
        <w:rPr>
          <w:rFonts w:hint="eastAsia" w:ascii="仿宋" w:hAnsi="仿宋" w:eastAsia="仿宋" w:cs="仿宋"/>
          <w:color w:val="000000" w:themeColor="text1"/>
          <w:sz w:val="28"/>
          <w:szCs w:val="28"/>
          <w14:textFill>
            <w14:solidFill>
              <w14:schemeClr w14:val="tx1"/>
            </w14:solidFill>
          </w14:textFill>
        </w:rPr>
        <w:t>提供</w:t>
      </w:r>
      <w:r>
        <w:rPr>
          <w:rFonts w:hint="eastAsia" w:ascii="仿宋" w:hAnsi="仿宋" w:eastAsia="仿宋" w:cs="仿宋"/>
          <w:color w:val="000000" w:themeColor="text1"/>
          <w:sz w:val="28"/>
          <w:szCs w:val="28"/>
          <w:lang w:val="en-US" w:eastAsia="zh-CN"/>
          <w14:textFill>
            <w14:solidFill>
              <w14:schemeClr w14:val="tx1"/>
            </w14:solidFill>
          </w14:textFill>
        </w:rPr>
        <w:t>覆盖履约期限的</w:t>
      </w:r>
      <w:r>
        <w:rPr>
          <w:rFonts w:hint="eastAsia" w:ascii="仿宋" w:hAnsi="仿宋" w:eastAsia="仿宋" w:cs="仿宋"/>
          <w:color w:val="000000" w:themeColor="text1"/>
          <w:sz w:val="28"/>
          <w:szCs w:val="28"/>
          <w14:textFill>
            <w14:solidFill>
              <w14:schemeClr w14:val="tx1"/>
            </w14:solidFill>
          </w14:textFill>
        </w:rPr>
        <w:t>完整合同复印件</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lang w:val="en-US" w:eastAsia="zh-CN"/>
          <w14:textFill>
            <w14:solidFill>
              <w14:schemeClr w14:val="tx1"/>
            </w14:solidFill>
          </w14:textFill>
        </w:rPr>
        <w:t>否则不得分</w:t>
      </w:r>
      <w:r>
        <w:rPr>
          <w:rFonts w:hint="eastAsia" w:ascii="仿宋" w:hAnsi="仿宋" w:eastAsia="仿宋" w:cs="仿宋"/>
          <w:color w:val="000000" w:themeColor="text1"/>
          <w:sz w:val="28"/>
          <w:szCs w:val="28"/>
          <w:lang w:eastAsia="zh-CN"/>
          <w14:textFill>
            <w14:solidFill>
              <w14:schemeClr w14:val="tx1"/>
            </w14:solidFill>
          </w14:textFill>
        </w:rPr>
        <w:t>）</w:t>
      </w:r>
    </w:p>
    <w:p w14:paraId="0FF1C8A7">
      <w:pPr>
        <w:snapToGrid w:val="0"/>
        <w:spacing w:line="500" w:lineRule="exact"/>
        <w:ind w:firstLine="560" w:firstLineChars="200"/>
        <w:rPr>
          <w:rFonts w:ascii="Times New Roman" w:hAnsi="Times New Roman" w:eastAsia="仿宋" w:cs="Times New Roman"/>
          <w:b/>
          <w:bCs/>
          <w:color w:val="000000" w:themeColor="text1"/>
          <w:kern w:val="0"/>
          <w:sz w:val="28"/>
          <w:szCs w:val="28"/>
          <w14:textFill>
            <w14:solidFill>
              <w14:schemeClr w14:val="tx1"/>
            </w14:solidFill>
          </w14:textFill>
        </w:rPr>
      </w:pPr>
      <w:r>
        <w:rPr>
          <w:rFonts w:ascii="仿宋" w:hAnsi="仿宋" w:eastAsia="仿宋" w:cs="仿宋"/>
          <w:color w:val="000000" w:themeColor="text1"/>
          <w:sz w:val="28"/>
          <w:szCs w:val="28"/>
          <w14:textFill>
            <w14:solidFill>
              <w14:schemeClr w14:val="tx1"/>
            </w14:solidFill>
          </w14:textFill>
        </w:rPr>
        <w:t>（</w:t>
      </w:r>
      <w:r>
        <w:rPr>
          <w:rFonts w:hint="eastAsia" w:ascii="仿宋" w:hAnsi="仿宋" w:eastAsia="仿宋" w:cs="仿宋"/>
          <w:color w:val="000000" w:themeColor="text1"/>
          <w:sz w:val="28"/>
          <w:szCs w:val="28"/>
          <w14:textFill>
            <w14:solidFill>
              <w14:schemeClr w14:val="tx1"/>
            </w14:solidFill>
          </w14:textFill>
        </w:rPr>
        <w:t>3</w:t>
      </w:r>
      <w:r>
        <w:rPr>
          <w:rFonts w:ascii="仿宋" w:hAnsi="仿宋" w:eastAsia="仿宋" w:cs="仿宋"/>
          <w:color w:val="000000" w:themeColor="text1"/>
          <w:sz w:val="28"/>
          <w:szCs w:val="28"/>
          <w14:textFill>
            <w14:solidFill>
              <w14:schemeClr w14:val="tx1"/>
            </w14:solidFill>
          </w14:textFill>
        </w:rPr>
        <w:t>）</w:t>
      </w:r>
      <w:r>
        <w:rPr>
          <w:rFonts w:hint="eastAsia" w:ascii="仿宋" w:hAnsi="仿宋" w:eastAsia="仿宋" w:cs="仿宋"/>
          <w:color w:val="000000" w:themeColor="text1"/>
          <w:sz w:val="28"/>
          <w:szCs w:val="28"/>
          <w14:textFill>
            <w14:solidFill>
              <w14:schemeClr w14:val="tx1"/>
            </w14:solidFill>
          </w14:textFill>
        </w:rPr>
        <w:t>上述业绩中投标单位获得过服务单位评优评先表彰的，每提供一个得2</w:t>
      </w:r>
      <w:r>
        <w:rPr>
          <w:rFonts w:ascii="仿宋" w:hAnsi="仿宋" w:eastAsia="仿宋" w:cs="仿宋"/>
          <w:color w:val="000000" w:themeColor="text1"/>
          <w:sz w:val="28"/>
          <w:szCs w:val="28"/>
          <w14:textFill>
            <w14:solidFill>
              <w14:schemeClr w14:val="tx1"/>
            </w14:solidFill>
          </w14:textFill>
        </w:rPr>
        <w:t>分，最多加</w:t>
      </w:r>
      <w:r>
        <w:rPr>
          <w:rFonts w:hint="eastAsia" w:ascii="仿宋" w:hAnsi="仿宋" w:eastAsia="仿宋" w:cs="仿宋"/>
          <w:color w:val="000000" w:themeColor="text1"/>
          <w:sz w:val="28"/>
          <w:szCs w:val="28"/>
          <w14:textFill>
            <w14:solidFill>
              <w14:schemeClr w14:val="tx1"/>
            </w14:solidFill>
          </w14:textFill>
        </w:rPr>
        <w:t>4</w:t>
      </w:r>
      <w:r>
        <w:rPr>
          <w:rFonts w:ascii="仿宋" w:hAnsi="仿宋" w:eastAsia="仿宋" w:cs="仿宋"/>
          <w:color w:val="000000" w:themeColor="text1"/>
          <w:sz w:val="28"/>
          <w:szCs w:val="28"/>
          <w14:textFill>
            <w14:solidFill>
              <w14:schemeClr w14:val="tx1"/>
            </w14:solidFill>
          </w14:textFill>
        </w:rPr>
        <w:t>分。（</w:t>
      </w:r>
      <w:r>
        <w:rPr>
          <w:rFonts w:hint="eastAsia" w:ascii="仿宋" w:hAnsi="仿宋" w:eastAsia="仿宋" w:cs="仿宋"/>
          <w:color w:val="000000" w:themeColor="text1"/>
          <w:sz w:val="28"/>
          <w:szCs w:val="28"/>
          <w14:textFill>
            <w14:solidFill>
              <w14:schemeClr w14:val="tx1"/>
            </w14:solidFill>
          </w14:textFill>
        </w:rPr>
        <w:t>须提供服务单位出具的盖章证明材料</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lang w:val="en-US" w:eastAsia="zh-CN"/>
          <w14:textFill>
            <w14:solidFill>
              <w14:schemeClr w14:val="tx1"/>
            </w14:solidFill>
          </w14:textFill>
        </w:rPr>
        <w:t>否则不得分</w:t>
      </w:r>
      <w:r>
        <w:rPr>
          <w:rFonts w:ascii="仿宋" w:hAnsi="仿宋" w:eastAsia="仿宋" w:cs="仿宋"/>
          <w:color w:val="000000" w:themeColor="text1"/>
          <w:sz w:val="28"/>
          <w:szCs w:val="28"/>
          <w14:textFill>
            <w14:solidFill>
              <w14:schemeClr w14:val="tx1"/>
            </w14:solidFill>
          </w14:textFill>
        </w:rPr>
        <w:t>）</w:t>
      </w:r>
      <w:r>
        <w:rPr>
          <w:rFonts w:ascii="Times New Roman" w:hAnsi="Times New Roman" w:eastAsia="仿宋" w:cs="Times New Roman"/>
          <w:color w:val="000000" w:themeColor="text1"/>
          <w:kern w:val="0"/>
          <w:sz w:val="28"/>
          <w:szCs w:val="28"/>
          <w14:textFill>
            <w14:solidFill>
              <w14:schemeClr w14:val="tx1"/>
            </w14:solidFill>
          </w14:textFill>
        </w:rPr>
        <w:t xml:space="preserve"> </w:t>
      </w:r>
    </w:p>
    <w:p w14:paraId="49AB6B36">
      <w:pPr>
        <w:snapToGrid w:val="0"/>
        <w:spacing w:line="500" w:lineRule="exact"/>
        <w:ind w:firstLine="554" w:firstLineChars="198"/>
        <w:rPr>
          <w:rFonts w:ascii="Times New Roman" w:hAnsi="Times New Roman" w:eastAsia="仿宋" w:cs="Times New Roman"/>
          <w:bCs/>
          <w:color w:val="000000" w:themeColor="text1"/>
          <w:kern w:val="0"/>
          <w:sz w:val="28"/>
          <w:szCs w:val="28"/>
          <w14:textFill>
            <w14:solidFill>
              <w14:schemeClr w14:val="tx1"/>
            </w14:solidFill>
          </w14:textFill>
        </w:rPr>
      </w:pPr>
      <w:r>
        <w:rPr>
          <w:rFonts w:ascii="Times New Roman" w:hAnsi="Times New Roman" w:eastAsia="仿宋" w:cs="Times New Roman"/>
          <w:bCs/>
          <w:color w:val="000000" w:themeColor="text1"/>
          <w:kern w:val="0"/>
          <w:sz w:val="28"/>
          <w:szCs w:val="28"/>
          <w14:textFill>
            <w14:solidFill>
              <w14:schemeClr w14:val="tx1"/>
            </w14:solidFill>
          </w14:textFill>
        </w:rPr>
        <w:t>（四）物流仓储能力（12分）</w:t>
      </w:r>
    </w:p>
    <w:p w14:paraId="503CC777">
      <w:pPr>
        <w:snapToGrid w:val="0"/>
        <w:spacing w:line="500" w:lineRule="exact"/>
        <w:ind w:firstLine="560" w:firstLineChars="200"/>
        <w:rPr>
          <w:rFonts w:ascii="Times New Roman" w:hAnsi="Times New Roman" w:eastAsia="仿宋" w:cs="Times New Roman"/>
          <w:color w:val="000000"/>
          <w:sz w:val="28"/>
          <w:szCs w:val="28"/>
        </w:rPr>
      </w:pPr>
      <w:r>
        <w:rPr>
          <w:rFonts w:ascii="Times New Roman" w:hAnsi="Times New Roman" w:eastAsia="仿宋" w:cs="Times New Roman"/>
          <w:color w:val="000000"/>
          <w:sz w:val="28"/>
          <w:szCs w:val="28"/>
        </w:rPr>
        <w:t>1</w:t>
      </w:r>
      <w:r>
        <w:rPr>
          <w:rFonts w:ascii="Times New Roman" w:hAnsi="Times New Roman" w:eastAsia="仿宋" w:cs="Times New Roman"/>
          <w:color w:val="000000"/>
          <w:kern w:val="0"/>
          <w:sz w:val="28"/>
          <w:szCs w:val="28"/>
        </w:rPr>
        <w:t>.</w:t>
      </w:r>
      <w:r>
        <w:rPr>
          <w:rFonts w:ascii="Times New Roman" w:hAnsi="Times New Roman" w:eastAsia="仿宋" w:cs="Times New Roman"/>
          <w:color w:val="000000"/>
          <w:sz w:val="28"/>
          <w:szCs w:val="28"/>
        </w:rPr>
        <w:t>配送车辆（4分）</w:t>
      </w:r>
    </w:p>
    <w:p w14:paraId="46BCF9B2">
      <w:pPr>
        <w:snapToGrid w:val="0"/>
        <w:spacing w:line="500" w:lineRule="exact"/>
        <w:ind w:firstLine="560" w:firstLineChars="200"/>
        <w:rPr>
          <w:rFonts w:ascii="Times New Roman" w:hAnsi="Times New Roman" w:eastAsia="仿宋" w:cs="Times New Roman"/>
          <w:color w:val="FF0000"/>
          <w:sz w:val="28"/>
          <w:szCs w:val="28"/>
        </w:rPr>
      </w:pPr>
      <w:r>
        <w:rPr>
          <w:rFonts w:ascii="Times New Roman" w:hAnsi="Times New Roman" w:eastAsia="仿宋" w:cs="Times New Roman"/>
          <w:sz w:val="28"/>
          <w:szCs w:val="28"/>
        </w:rPr>
        <w:t>根据投标人提供的运输车辆情况进行评分（3、4、5、6标段仅考察冷链运输车）。少于4辆不得分，每满4辆加2分，最高得4分。</w:t>
      </w:r>
    </w:p>
    <w:p w14:paraId="5AC3F6DB">
      <w:pPr>
        <w:snapToGrid w:val="0"/>
        <w:spacing w:line="500" w:lineRule="exact"/>
        <w:ind w:firstLine="562" w:firstLineChars="200"/>
        <w:rPr>
          <w:rFonts w:ascii="Times New Roman" w:hAnsi="Times New Roman" w:eastAsia="仿宋" w:cs="Times New Roman"/>
          <w:b/>
          <w:bCs/>
          <w:sz w:val="28"/>
          <w:szCs w:val="28"/>
        </w:rPr>
      </w:pPr>
      <w:r>
        <w:rPr>
          <w:rFonts w:ascii="Times New Roman" w:hAnsi="Times New Roman" w:eastAsia="仿宋" w:cs="Times New Roman"/>
          <w:b/>
          <w:bCs/>
          <w:sz w:val="28"/>
          <w:szCs w:val="28"/>
        </w:rPr>
        <w:t>注：自有运输车辆须提供运输车辆的机动车行驶证复印件；租赁的须提供租赁协议及运输车辆的机动车行驶证复印件</w:t>
      </w:r>
      <w:r>
        <w:rPr>
          <w:rFonts w:hint="eastAsia" w:ascii="Times New Roman" w:hAnsi="Times New Roman" w:eastAsia="仿宋" w:cs="Times New Roman"/>
          <w:b/>
          <w:bCs/>
          <w:sz w:val="28"/>
          <w:szCs w:val="28"/>
        </w:rPr>
        <w:t>；同时提供</w:t>
      </w:r>
      <w:r>
        <w:rPr>
          <w:rFonts w:ascii="Times New Roman" w:hAnsi="Times New Roman" w:eastAsia="仿宋" w:cs="Times New Roman"/>
          <w:b/>
          <w:bCs/>
          <w:sz w:val="28"/>
          <w:szCs w:val="28"/>
        </w:rPr>
        <w:t>配送车辆专用承诺函。冷链车需另外提供车辆安装制冷设备的图片。</w:t>
      </w:r>
      <w:r>
        <w:rPr>
          <w:rFonts w:hint="eastAsia" w:ascii="Times New Roman" w:hAnsi="Times New Roman" w:eastAsia="仿宋" w:cs="Times New Roman"/>
          <w:b/>
          <w:bCs/>
          <w:sz w:val="28"/>
          <w:szCs w:val="28"/>
        </w:rPr>
        <w:t>未</w:t>
      </w:r>
      <w:r>
        <w:rPr>
          <w:rFonts w:ascii="Times New Roman" w:hAnsi="Times New Roman" w:eastAsia="仿宋" w:cs="Times New Roman"/>
          <w:b/>
          <w:bCs/>
          <w:sz w:val="28"/>
          <w:szCs w:val="28"/>
        </w:rPr>
        <w:t>提供</w:t>
      </w:r>
      <w:r>
        <w:rPr>
          <w:rFonts w:hint="eastAsia" w:ascii="Times New Roman" w:hAnsi="Times New Roman" w:eastAsia="仿宋" w:cs="Times New Roman"/>
          <w:b/>
          <w:bCs/>
          <w:sz w:val="28"/>
          <w:szCs w:val="28"/>
        </w:rPr>
        <w:t>或提供不全的</w:t>
      </w:r>
      <w:r>
        <w:rPr>
          <w:rFonts w:ascii="Times New Roman" w:hAnsi="Times New Roman" w:eastAsia="仿宋" w:cs="Times New Roman"/>
          <w:b/>
          <w:bCs/>
          <w:sz w:val="28"/>
          <w:szCs w:val="28"/>
        </w:rPr>
        <w:t>不得分。</w:t>
      </w:r>
    </w:p>
    <w:p w14:paraId="2AE21D8E">
      <w:pPr>
        <w:snapToGrid w:val="0"/>
        <w:spacing w:line="500" w:lineRule="exact"/>
        <w:ind w:firstLine="560" w:firstLineChars="200"/>
        <w:rPr>
          <w:rFonts w:ascii="Times New Roman" w:hAnsi="Times New Roman" w:eastAsia="仿宋" w:cs="Times New Roman"/>
          <w:color w:val="000000"/>
          <w:kern w:val="0"/>
          <w:sz w:val="28"/>
          <w:szCs w:val="28"/>
        </w:rPr>
      </w:pPr>
      <w:r>
        <w:rPr>
          <w:rFonts w:ascii="Times New Roman" w:hAnsi="Times New Roman" w:eastAsia="仿宋" w:cs="Times New Roman"/>
          <w:color w:val="000000"/>
          <w:kern w:val="0"/>
          <w:sz w:val="28"/>
          <w:szCs w:val="28"/>
        </w:rPr>
        <w:t>2.种植基地和仓储面积（8分）</w:t>
      </w:r>
    </w:p>
    <w:p w14:paraId="3F949CF0">
      <w:pPr>
        <w:snapToGrid w:val="0"/>
        <w:spacing w:line="500" w:lineRule="exact"/>
        <w:ind w:firstLine="562" w:firstLineChars="200"/>
        <w:rPr>
          <w:rFonts w:ascii="Times New Roman" w:hAnsi="Times New Roman" w:eastAsia="仿宋" w:cs="Times New Roman"/>
          <w:bCs/>
          <w:color w:val="000000"/>
          <w:kern w:val="0"/>
          <w:sz w:val="28"/>
          <w:szCs w:val="28"/>
        </w:rPr>
      </w:pPr>
      <w:r>
        <w:rPr>
          <w:rFonts w:ascii="Times New Roman" w:hAnsi="Times New Roman" w:eastAsia="仿宋" w:cs="Times New Roman"/>
          <w:b/>
          <w:color w:val="000000"/>
          <w:kern w:val="0"/>
          <w:sz w:val="28"/>
          <w:szCs w:val="28"/>
        </w:rPr>
        <w:t>（1）适用于4标段</w:t>
      </w:r>
    </w:p>
    <w:p w14:paraId="4355808C">
      <w:pPr>
        <w:snapToGrid w:val="0"/>
        <w:spacing w:line="500" w:lineRule="exact"/>
        <w:ind w:firstLine="560" w:firstLineChars="200"/>
        <w:rPr>
          <w:rFonts w:ascii="Times New Roman" w:hAnsi="Times New Roman" w:eastAsia="仿宋" w:cs="Times New Roman"/>
          <w:bCs/>
          <w:color w:val="000000"/>
          <w:kern w:val="0"/>
          <w:sz w:val="28"/>
          <w:szCs w:val="28"/>
        </w:rPr>
      </w:pPr>
      <w:r>
        <w:rPr>
          <w:rFonts w:ascii="Times New Roman" w:hAnsi="Times New Roman" w:eastAsia="仿宋" w:cs="Times New Roman"/>
          <w:bCs/>
          <w:color w:val="000000"/>
          <w:kern w:val="0"/>
          <w:sz w:val="28"/>
          <w:szCs w:val="28"/>
        </w:rPr>
        <w:t>a.种植基地（4分）：种植基地低于250亩不得分，每满250亩加1分，最高加4分。</w:t>
      </w:r>
      <w:r>
        <w:rPr>
          <w:rFonts w:ascii="Times New Roman" w:hAnsi="Times New Roman" w:eastAsia="仿宋" w:cs="Times New Roman"/>
          <w:b/>
          <w:color w:val="000000"/>
          <w:kern w:val="0"/>
          <w:sz w:val="28"/>
          <w:szCs w:val="28"/>
        </w:rPr>
        <w:t>自有种植基地须提供自有土地证复印件；租赁的须提供租赁协议及出租方土地证复印件。</w:t>
      </w:r>
    </w:p>
    <w:p w14:paraId="42316123">
      <w:pPr>
        <w:snapToGrid w:val="0"/>
        <w:spacing w:line="500" w:lineRule="exact"/>
        <w:ind w:firstLine="560" w:firstLineChars="200"/>
        <w:rPr>
          <w:rFonts w:ascii="Times New Roman" w:hAnsi="Times New Roman" w:eastAsia="仿宋" w:cs="Times New Roman"/>
          <w:bCs/>
          <w:color w:val="000000"/>
          <w:kern w:val="0"/>
          <w:sz w:val="28"/>
          <w:szCs w:val="28"/>
        </w:rPr>
      </w:pPr>
      <w:bookmarkStart w:id="8" w:name="OLE_LINK5"/>
      <w:r>
        <w:rPr>
          <w:rFonts w:ascii="Times New Roman" w:hAnsi="Times New Roman" w:eastAsia="仿宋" w:cs="Times New Roman"/>
          <w:bCs/>
          <w:color w:val="000000"/>
          <w:kern w:val="0"/>
          <w:sz w:val="28"/>
          <w:szCs w:val="28"/>
        </w:rPr>
        <w:t>b.</w:t>
      </w:r>
      <w:bookmarkEnd w:id="8"/>
      <w:r>
        <w:rPr>
          <w:rFonts w:ascii="Times New Roman" w:hAnsi="Times New Roman" w:eastAsia="仿宋" w:cs="Times New Roman"/>
          <w:bCs/>
          <w:color w:val="000000"/>
          <w:kern w:val="0"/>
          <w:sz w:val="28"/>
          <w:szCs w:val="28"/>
        </w:rPr>
        <w:t>仓储面积（4分）：仓储面积低于500平方米不得分，每满500平方米加1分，最高加4分。</w:t>
      </w:r>
    </w:p>
    <w:p w14:paraId="66721D91">
      <w:pPr>
        <w:snapToGrid w:val="0"/>
        <w:spacing w:line="500" w:lineRule="exact"/>
        <w:ind w:firstLine="562" w:firstLineChars="200"/>
        <w:rPr>
          <w:rFonts w:ascii="仿宋" w:hAnsi="仿宋" w:eastAsia="仿宋" w:cs="Times New Roman"/>
          <w:b/>
          <w:color w:val="000000"/>
          <w:kern w:val="0"/>
          <w:sz w:val="28"/>
          <w:szCs w:val="28"/>
        </w:rPr>
      </w:pPr>
      <w:r>
        <w:rPr>
          <w:rFonts w:ascii="Times New Roman" w:hAnsi="Times New Roman" w:eastAsia="仿宋" w:cs="Times New Roman"/>
          <w:b/>
          <w:bCs/>
          <w:color w:val="000000"/>
          <w:kern w:val="0"/>
          <w:sz w:val="28"/>
          <w:szCs w:val="28"/>
        </w:rPr>
        <w:t>（</w:t>
      </w:r>
      <w:r>
        <w:rPr>
          <w:rFonts w:hint="eastAsia" w:ascii="Times New Roman" w:hAnsi="Times New Roman" w:eastAsia="仿宋" w:cs="Times New Roman"/>
          <w:b/>
          <w:bCs/>
          <w:color w:val="000000"/>
          <w:kern w:val="0"/>
          <w:sz w:val="28"/>
          <w:szCs w:val="28"/>
        </w:rPr>
        <w:t>2</w:t>
      </w:r>
      <w:r>
        <w:rPr>
          <w:rFonts w:ascii="Times New Roman" w:hAnsi="Times New Roman" w:eastAsia="仿宋" w:cs="Times New Roman"/>
          <w:b/>
          <w:bCs/>
          <w:color w:val="000000"/>
          <w:kern w:val="0"/>
          <w:sz w:val="28"/>
          <w:szCs w:val="28"/>
        </w:rPr>
        <w:t>）</w:t>
      </w:r>
      <w:r>
        <w:rPr>
          <w:rFonts w:hint="eastAsia" w:ascii="仿宋" w:hAnsi="仿宋" w:eastAsia="仿宋" w:cs="Times New Roman"/>
          <w:b/>
          <w:color w:val="000000"/>
          <w:kern w:val="0"/>
          <w:sz w:val="28"/>
          <w:szCs w:val="28"/>
        </w:rPr>
        <w:t>适用于6标段</w:t>
      </w:r>
    </w:p>
    <w:p w14:paraId="42E5429B">
      <w:pPr>
        <w:snapToGrid w:val="0"/>
        <w:spacing w:line="500" w:lineRule="exact"/>
        <w:ind w:firstLine="560" w:firstLineChars="200"/>
        <w:rPr>
          <w:rFonts w:ascii="Times New Roman" w:hAnsi="Times New Roman" w:eastAsia="仿宋" w:cs="Times New Roman"/>
          <w:b/>
          <w:bCs/>
          <w:color w:val="000000"/>
          <w:kern w:val="0"/>
          <w:sz w:val="28"/>
          <w:szCs w:val="28"/>
        </w:rPr>
      </w:pPr>
      <w:r>
        <w:rPr>
          <w:rFonts w:ascii="Times New Roman" w:hAnsi="Times New Roman" w:eastAsia="仿宋" w:cs="Times New Roman"/>
          <w:bCs/>
          <w:color w:val="000000"/>
          <w:kern w:val="0"/>
          <w:sz w:val="28"/>
          <w:szCs w:val="28"/>
        </w:rPr>
        <w:t>a.</w:t>
      </w:r>
      <w:r>
        <w:rPr>
          <w:rFonts w:hint="eastAsia" w:ascii="Times New Roman" w:hAnsi="Times New Roman" w:eastAsia="仿宋" w:cs="Times New Roman"/>
          <w:bCs/>
          <w:color w:val="000000"/>
          <w:kern w:val="0"/>
          <w:sz w:val="28"/>
          <w:szCs w:val="28"/>
        </w:rPr>
        <w:t>水产检测（3分）：投标单位</w:t>
      </w:r>
      <w:r>
        <w:rPr>
          <w:rFonts w:ascii="Times New Roman" w:hAnsi="Times New Roman" w:eastAsia="仿宋" w:cs="Times New Roman"/>
          <w:bCs/>
          <w:color w:val="000000"/>
          <w:kern w:val="0"/>
          <w:sz w:val="28"/>
          <w:szCs w:val="28"/>
        </w:rPr>
        <w:t>所投水产品种能提供抗生素、重金属等项</w:t>
      </w:r>
      <w:bookmarkStart w:id="12" w:name="_GoBack"/>
      <w:r>
        <w:rPr>
          <w:rFonts w:ascii="Times New Roman" w:hAnsi="Times New Roman" w:eastAsia="仿宋" w:cs="Times New Roman"/>
          <w:bCs/>
          <w:color w:val="auto"/>
          <w:kern w:val="0"/>
          <w:sz w:val="28"/>
          <w:szCs w:val="28"/>
        </w:rPr>
        <w:t>目</w:t>
      </w:r>
      <w:r>
        <w:rPr>
          <w:rFonts w:hint="eastAsia" w:ascii="Times New Roman" w:hAnsi="Times New Roman" w:eastAsia="仿宋" w:cs="Times New Roman"/>
          <w:bCs/>
          <w:color w:val="auto"/>
          <w:kern w:val="0"/>
          <w:sz w:val="28"/>
          <w:szCs w:val="28"/>
          <w:lang w:val="en-US" w:eastAsia="zh-CN"/>
        </w:rPr>
        <w:t>的合格</w:t>
      </w:r>
      <w:r>
        <w:rPr>
          <w:rFonts w:ascii="Times New Roman" w:hAnsi="Times New Roman" w:eastAsia="仿宋" w:cs="Times New Roman"/>
          <w:bCs/>
          <w:color w:val="auto"/>
          <w:kern w:val="0"/>
          <w:sz w:val="28"/>
          <w:szCs w:val="28"/>
        </w:rPr>
        <w:t>检测报</w:t>
      </w:r>
      <w:bookmarkEnd w:id="12"/>
      <w:r>
        <w:rPr>
          <w:rFonts w:ascii="Times New Roman" w:hAnsi="Times New Roman" w:eastAsia="仿宋" w:cs="Times New Roman"/>
          <w:bCs/>
          <w:color w:val="000000"/>
          <w:kern w:val="0"/>
          <w:sz w:val="28"/>
          <w:szCs w:val="28"/>
        </w:rPr>
        <w:t>告的得</w:t>
      </w:r>
      <w:r>
        <w:rPr>
          <w:rFonts w:hint="eastAsia" w:ascii="Times New Roman" w:hAnsi="Times New Roman" w:eastAsia="仿宋" w:cs="Times New Roman"/>
          <w:bCs/>
          <w:color w:val="000000"/>
          <w:kern w:val="0"/>
          <w:sz w:val="28"/>
          <w:szCs w:val="28"/>
        </w:rPr>
        <w:t>3</w:t>
      </w:r>
      <w:r>
        <w:rPr>
          <w:rFonts w:ascii="Times New Roman" w:hAnsi="Times New Roman" w:eastAsia="仿宋" w:cs="Times New Roman"/>
          <w:bCs/>
          <w:color w:val="000000"/>
          <w:kern w:val="0"/>
          <w:sz w:val="28"/>
          <w:szCs w:val="28"/>
        </w:rPr>
        <w:t>分，不能提供的不得分</w:t>
      </w:r>
      <w:r>
        <w:rPr>
          <w:rFonts w:hint="eastAsia" w:ascii="Times New Roman" w:hAnsi="Times New Roman" w:eastAsia="仿宋" w:cs="Times New Roman"/>
          <w:bCs/>
          <w:color w:val="000000"/>
          <w:kern w:val="0"/>
          <w:sz w:val="28"/>
          <w:szCs w:val="28"/>
        </w:rPr>
        <w:t>。</w:t>
      </w:r>
      <w:r>
        <w:rPr>
          <w:rFonts w:ascii="Times New Roman" w:hAnsi="Times New Roman" w:eastAsia="仿宋" w:cs="Times New Roman"/>
          <w:b/>
          <w:bCs/>
          <w:color w:val="000000"/>
          <w:kern w:val="0"/>
          <w:sz w:val="28"/>
          <w:szCs w:val="28"/>
        </w:rPr>
        <w:t>（</w:t>
      </w:r>
      <w:r>
        <w:rPr>
          <w:rFonts w:hint="eastAsia" w:ascii="Times New Roman" w:hAnsi="Times New Roman" w:eastAsia="仿宋" w:cs="Times New Roman"/>
          <w:b/>
          <w:bCs/>
          <w:color w:val="000000"/>
          <w:kern w:val="0"/>
          <w:sz w:val="28"/>
          <w:szCs w:val="28"/>
        </w:rPr>
        <w:t>需</w:t>
      </w:r>
      <w:r>
        <w:rPr>
          <w:rFonts w:hint="eastAsia" w:ascii="Times New Roman" w:hAnsi="Times New Roman" w:eastAsia="仿宋" w:cs="Times New Roman"/>
          <w:b/>
          <w:bCs/>
          <w:color w:val="000000"/>
          <w:kern w:val="0"/>
          <w:sz w:val="28"/>
          <w:szCs w:val="28"/>
          <w:lang w:val="en-US" w:eastAsia="zh-CN"/>
        </w:rPr>
        <w:t>提供第三方检测机构出具的任一品种的</w:t>
      </w:r>
      <w:r>
        <w:rPr>
          <w:rFonts w:ascii="Times New Roman" w:hAnsi="Times New Roman" w:eastAsia="仿宋" w:cs="Times New Roman"/>
          <w:b/>
          <w:bCs/>
          <w:color w:val="000000"/>
          <w:kern w:val="0"/>
          <w:sz w:val="28"/>
          <w:szCs w:val="28"/>
        </w:rPr>
        <w:t>检测报告复印件，原件备查）</w:t>
      </w:r>
    </w:p>
    <w:p w14:paraId="7039029B">
      <w:pPr>
        <w:snapToGrid w:val="0"/>
        <w:spacing w:line="500" w:lineRule="exact"/>
        <w:ind w:firstLine="560" w:firstLineChars="200"/>
        <w:rPr>
          <w:rFonts w:ascii="Times New Roman" w:hAnsi="Times New Roman" w:eastAsia="仿宋" w:cs="Times New Roman"/>
          <w:b/>
          <w:bCs/>
          <w:color w:val="000000"/>
          <w:kern w:val="0"/>
          <w:sz w:val="28"/>
          <w:szCs w:val="28"/>
        </w:rPr>
      </w:pPr>
      <w:r>
        <w:rPr>
          <w:rFonts w:ascii="Times New Roman" w:hAnsi="Times New Roman" w:eastAsia="仿宋" w:cs="Times New Roman"/>
          <w:bCs/>
          <w:color w:val="000000"/>
          <w:kern w:val="0"/>
          <w:sz w:val="28"/>
          <w:szCs w:val="28"/>
        </w:rPr>
        <w:t>b.</w:t>
      </w:r>
      <w:r>
        <w:rPr>
          <w:rFonts w:hint="eastAsia" w:ascii="Times New Roman" w:hAnsi="Times New Roman" w:eastAsia="仿宋" w:cs="Times New Roman"/>
          <w:bCs/>
          <w:color w:val="000000"/>
          <w:kern w:val="0"/>
          <w:sz w:val="28"/>
          <w:szCs w:val="28"/>
        </w:rPr>
        <w:t>养殖基地（2分）：投标单位</w:t>
      </w:r>
      <w:r>
        <w:rPr>
          <w:rFonts w:ascii="Times New Roman" w:hAnsi="Times New Roman" w:eastAsia="仿宋" w:cs="Times New Roman"/>
          <w:bCs/>
          <w:color w:val="000000"/>
          <w:kern w:val="0"/>
          <w:sz w:val="28"/>
          <w:szCs w:val="28"/>
        </w:rPr>
        <w:t>有自营水产养殖基地或基地直供购销合同的</w:t>
      </w:r>
      <w:r>
        <w:rPr>
          <w:rFonts w:hint="eastAsia" w:ascii="Times New Roman" w:hAnsi="Times New Roman" w:eastAsia="仿宋" w:cs="Times New Roman"/>
          <w:bCs/>
          <w:color w:val="000000"/>
          <w:kern w:val="0"/>
          <w:sz w:val="28"/>
          <w:szCs w:val="28"/>
        </w:rPr>
        <w:t>得2</w:t>
      </w:r>
      <w:r>
        <w:rPr>
          <w:rFonts w:ascii="Times New Roman" w:hAnsi="Times New Roman" w:eastAsia="仿宋" w:cs="Times New Roman"/>
          <w:bCs/>
          <w:color w:val="000000"/>
          <w:kern w:val="0"/>
          <w:sz w:val="28"/>
          <w:szCs w:val="28"/>
        </w:rPr>
        <w:t>分，不能提供的不得分。</w:t>
      </w:r>
      <w:r>
        <w:rPr>
          <w:rFonts w:ascii="Times New Roman" w:hAnsi="Times New Roman" w:eastAsia="仿宋" w:cs="Times New Roman"/>
          <w:b/>
          <w:bCs/>
          <w:color w:val="000000"/>
          <w:kern w:val="0"/>
          <w:sz w:val="28"/>
          <w:szCs w:val="28"/>
        </w:rPr>
        <w:t>（</w:t>
      </w:r>
      <w:r>
        <w:rPr>
          <w:rFonts w:hint="eastAsia" w:ascii="Times New Roman" w:hAnsi="Times New Roman" w:eastAsia="仿宋" w:cs="Times New Roman"/>
          <w:b/>
          <w:bCs/>
          <w:color w:val="000000"/>
          <w:kern w:val="0"/>
          <w:sz w:val="28"/>
          <w:szCs w:val="28"/>
        </w:rPr>
        <w:t>需</w:t>
      </w:r>
      <w:r>
        <w:rPr>
          <w:rFonts w:ascii="Times New Roman" w:hAnsi="Times New Roman" w:eastAsia="仿宋" w:cs="Times New Roman"/>
          <w:b/>
          <w:bCs/>
          <w:color w:val="000000"/>
          <w:kern w:val="0"/>
          <w:sz w:val="28"/>
          <w:szCs w:val="28"/>
        </w:rPr>
        <w:t>提供有效的租赁合同</w:t>
      </w:r>
      <w:r>
        <w:rPr>
          <w:rFonts w:hint="eastAsia" w:ascii="Times New Roman" w:hAnsi="Times New Roman" w:eastAsia="仿宋" w:cs="Times New Roman"/>
          <w:b/>
          <w:bCs/>
          <w:color w:val="000000"/>
          <w:kern w:val="0"/>
          <w:sz w:val="28"/>
          <w:szCs w:val="28"/>
        </w:rPr>
        <w:t>（协议）</w:t>
      </w:r>
      <w:r>
        <w:rPr>
          <w:rFonts w:ascii="Times New Roman" w:hAnsi="Times New Roman" w:eastAsia="仿宋" w:cs="Times New Roman"/>
          <w:b/>
          <w:bCs/>
          <w:color w:val="000000"/>
          <w:kern w:val="0"/>
          <w:sz w:val="28"/>
          <w:szCs w:val="28"/>
        </w:rPr>
        <w:t>复印件或土地使用权证复印件或直供购销合同复印件，原件备查）</w:t>
      </w:r>
    </w:p>
    <w:p w14:paraId="78E07BB5">
      <w:pPr>
        <w:snapToGrid w:val="0"/>
        <w:spacing w:line="500" w:lineRule="exact"/>
        <w:ind w:firstLine="560" w:firstLineChars="200"/>
        <w:rPr>
          <w:rFonts w:ascii="Times New Roman" w:hAnsi="Times New Roman" w:eastAsia="仿宋" w:cs="Times New Roman"/>
          <w:color w:val="000000"/>
          <w:kern w:val="0"/>
          <w:sz w:val="28"/>
          <w:szCs w:val="28"/>
        </w:rPr>
      </w:pPr>
      <w:r>
        <w:rPr>
          <w:rFonts w:hint="eastAsia" w:ascii="仿宋" w:hAnsi="仿宋" w:eastAsia="仿宋" w:cs="Times New Roman"/>
          <w:color w:val="000000"/>
          <w:kern w:val="0"/>
          <w:sz w:val="28"/>
          <w:szCs w:val="28"/>
          <w:highlight w:val="none"/>
        </w:rPr>
        <w:t>c</w:t>
      </w:r>
      <w:r>
        <w:rPr>
          <w:rFonts w:hint="eastAsia" w:ascii="Times New Roman" w:hAnsi="Times New Roman" w:eastAsia="仿宋" w:cs="Times New Roman"/>
          <w:color w:val="000000"/>
          <w:kern w:val="0"/>
          <w:sz w:val="28"/>
          <w:szCs w:val="28"/>
          <w:highlight w:val="none"/>
        </w:rPr>
        <w:t>.冷链仓储面</w:t>
      </w:r>
      <w:r>
        <w:rPr>
          <w:rFonts w:hint="eastAsia" w:ascii="Times New Roman" w:hAnsi="Times New Roman" w:eastAsia="仿宋" w:cs="Times New Roman"/>
          <w:color w:val="000000"/>
          <w:kern w:val="0"/>
          <w:sz w:val="28"/>
          <w:szCs w:val="28"/>
        </w:rPr>
        <w:t>积（3分）：</w:t>
      </w:r>
      <w:r>
        <w:rPr>
          <w:rFonts w:ascii="Times New Roman" w:hAnsi="Times New Roman" w:eastAsia="仿宋" w:cs="Times New Roman"/>
          <w:color w:val="000000"/>
          <w:kern w:val="0"/>
          <w:sz w:val="28"/>
          <w:szCs w:val="28"/>
        </w:rPr>
        <w:t>具有</w:t>
      </w:r>
      <w:r>
        <w:rPr>
          <w:rFonts w:hint="eastAsia" w:ascii="Times New Roman" w:hAnsi="Times New Roman" w:eastAsia="仿宋" w:cs="Times New Roman"/>
          <w:color w:val="000000"/>
          <w:kern w:val="0"/>
          <w:sz w:val="28"/>
          <w:szCs w:val="28"/>
        </w:rPr>
        <w:t>6</w:t>
      </w:r>
      <w:r>
        <w:rPr>
          <w:rFonts w:ascii="Times New Roman" w:hAnsi="Times New Roman" w:eastAsia="仿宋" w:cs="Times New Roman"/>
          <w:color w:val="000000"/>
          <w:kern w:val="0"/>
          <w:sz w:val="28"/>
          <w:szCs w:val="28"/>
        </w:rPr>
        <w:t>00平方</w:t>
      </w:r>
      <w:r>
        <w:rPr>
          <w:rFonts w:hint="eastAsia" w:ascii="Times New Roman" w:hAnsi="Times New Roman" w:eastAsia="仿宋" w:cs="Times New Roman"/>
          <w:color w:val="000000"/>
          <w:kern w:val="0"/>
          <w:sz w:val="28"/>
          <w:szCs w:val="28"/>
        </w:rPr>
        <w:t>米（含）</w:t>
      </w:r>
      <w:r>
        <w:rPr>
          <w:rFonts w:ascii="Times New Roman" w:hAnsi="Times New Roman" w:eastAsia="仿宋" w:cs="Times New Roman"/>
          <w:color w:val="000000"/>
          <w:kern w:val="0"/>
          <w:sz w:val="28"/>
          <w:szCs w:val="28"/>
        </w:rPr>
        <w:t>以上面积得</w:t>
      </w:r>
      <w:r>
        <w:rPr>
          <w:rFonts w:hint="eastAsia" w:ascii="Times New Roman" w:hAnsi="Times New Roman" w:eastAsia="仿宋" w:cs="Times New Roman"/>
          <w:color w:val="000000"/>
          <w:kern w:val="0"/>
          <w:sz w:val="28"/>
          <w:szCs w:val="28"/>
        </w:rPr>
        <w:t>3</w:t>
      </w:r>
      <w:r>
        <w:rPr>
          <w:rFonts w:ascii="Times New Roman" w:hAnsi="Times New Roman" w:eastAsia="仿宋" w:cs="Times New Roman"/>
          <w:color w:val="000000"/>
          <w:kern w:val="0"/>
          <w:sz w:val="28"/>
          <w:szCs w:val="28"/>
        </w:rPr>
        <w:t>分，</w:t>
      </w:r>
      <w:r>
        <w:rPr>
          <w:rFonts w:hint="eastAsia" w:ascii="Times New Roman" w:hAnsi="Times New Roman" w:eastAsia="仿宋" w:cs="Times New Roman"/>
          <w:color w:val="000000"/>
          <w:kern w:val="0"/>
          <w:sz w:val="28"/>
          <w:szCs w:val="28"/>
          <w:lang w:val="en-US" w:eastAsia="zh-CN"/>
        </w:rPr>
        <w:t>600</w:t>
      </w:r>
      <w:r>
        <w:rPr>
          <w:rFonts w:ascii="Times New Roman" w:hAnsi="Times New Roman" w:eastAsia="仿宋" w:cs="Times New Roman"/>
          <w:color w:val="000000"/>
          <w:kern w:val="0"/>
          <w:sz w:val="28"/>
          <w:szCs w:val="28"/>
        </w:rPr>
        <w:t>平方</w:t>
      </w:r>
      <w:r>
        <w:rPr>
          <w:rFonts w:hint="eastAsia" w:ascii="Times New Roman" w:hAnsi="Times New Roman" w:eastAsia="仿宋" w:cs="Times New Roman"/>
          <w:color w:val="000000"/>
          <w:kern w:val="0"/>
          <w:sz w:val="28"/>
          <w:szCs w:val="28"/>
        </w:rPr>
        <w:t>米</w:t>
      </w:r>
      <w:r>
        <w:rPr>
          <w:rFonts w:hint="eastAsia" w:ascii="Times New Roman" w:hAnsi="Times New Roman" w:eastAsia="仿宋" w:cs="Times New Roman"/>
          <w:color w:val="000000"/>
          <w:kern w:val="0"/>
          <w:sz w:val="28"/>
          <w:szCs w:val="28"/>
          <w:lang w:eastAsia="zh-CN"/>
        </w:rPr>
        <w:t>（</w:t>
      </w:r>
      <w:r>
        <w:rPr>
          <w:rFonts w:hint="eastAsia" w:ascii="Times New Roman" w:hAnsi="Times New Roman" w:eastAsia="仿宋" w:cs="Times New Roman"/>
          <w:color w:val="000000"/>
          <w:kern w:val="0"/>
          <w:sz w:val="28"/>
          <w:szCs w:val="28"/>
          <w:lang w:val="en-US" w:eastAsia="zh-CN"/>
        </w:rPr>
        <w:t>不含）</w:t>
      </w:r>
      <w:r>
        <w:rPr>
          <w:rFonts w:ascii="Times New Roman" w:hAnsi="Times New Roman" w:eastAsia="仿宋" w:cs="Times New Roman"/>
          <w:color w:val="000000"/>
          <w:kern w:val="0"/>
          <w:sz w:val="28"/>
          <w:szCs w:val="28"/>
        </w:rPr>
        <w:t>～</w:t>
      </w:r>
      <w:r>
        <w:rPr>
          <w:rFonts w:hint="eastAsia" w:ascii="Times New Roman" w:hAnsi="Times New Roman" w:eastAsia="仿宋" w:cs="Times New Roman"/>
          <w:color w:val="000000"/>
          <w:kern w:val="0"/>
          <w:sz w:val="28"/>
          <w:szCs w:val="28"/>
        </w:rPr>
        <w:t>400</w:t>
      </w:r>
      <w:r>
        <w:rPr>
          <w:rFonts w:ascii="Times New Roman" w:hAnsi="Times New Roman" w:eastAsia="仿宋" w:cs="Times New Roman"/>
          <w:color w:val="000000"/>
          <w:kern w:val="0"/>
          <w:sz w:val="28"/>
          <w:szCs w:val="28"/>
        </w:rPr>
        <w:t>平方</w:t>
      </w:r>
      <w:r>
        <w:rPr>
          <w:rFonts w:hint="eastAsia" w:ascii="Times New Roman" w:hAnsi="Times New Roman" w:eastAsia="仿宋" w:cs="Times New Roman"/>
          <w:color w:val="000000"/>
          <w:kern w:val="0"/>
          <w:sz w:val="28"/>
          <w:szCs w:val="28"/>
        </w:rPr>
        <w:t>米（含）</w:t>
      </w:r>
      <w:r>
        <w:rPr>
          <w:rFonts w:ascii="Times New Roman" w:hAnsi="Times New Roman" w:eastAsia="仿宋" w:cs="Times New Roman"/>
          <w:color w:val="000000"/>
          <w:kern w:val="0"/>
          <w:sz w:val="28"/>
          <w:szCs w:val="28"/>
        </w:rPr>
        <w:t>面积得</w:t>
      </w:r>
      <w:r>
        <w:rPr>
          <w:rFonts w:hint="eastAsia" w:ascii="Times New Roman" w:hAnsi="Times New Roman" w:eastAsia="仿宋" w:cs="Times New Roman"/>
          <w:color w:val="000000"/>
          <w:kern w:val="0"/>
          <w:sz w:val="28"/>
          <w:szCs w:val="28"/>
        </w:rPr>
        <w:t>2</w:t>
      </w:r>
      <w:r>
        <w:rPr>
          <w:rFonts w:ascii="Times New Roman" w:hAnsi="Times New Roman" w:eastAsia="仿宋" w:cs="Times New Roman"/>
          <w:color w:val="000000"/>
          <w:kern w:val="0"/>
          <w:sz w:val="28"/>
          <w:szCs w:val="28"/>
        </w:rPr>
        <w:t>分，</w:t>
      </w:r>
      <w:r>
        <w:rPr>
          <w:rFonts w:hint="eastAsia" w:ascii="Times New Roman" w:hAnsi="Times New Roman" w:eastAsia="仿宋" w:cs="Times New Roman"/>
          <w:color w:val="000000"/>
          <w:kern w:val="0"/>
          <w:sz w:val="28"/>
          <w:szCs w:val="28"/>
          <w:lang w:val="en-US" w:eastAsia="zh-CN"/>
        </w:rPr>
        <w:t>400</w:t>
      </w:r>
      <w:r>
        <w:rPr>
          <w:rFonts w:ascii="Times New Roman" w:hAnsi="Times New Roman" w:eastAsia="仿宋" w:cs="Times New Roman"/>
          <w:color w:val="000000"/>
          <w:kern w:val="0"/>
          <w:sz w:val="28"/>
          <w:szCs w:val="28"/>
        </w:rPr>
        <w:t>平方</w:t>
      </w:r>
      <w:r>
        <w:rPr>
          <w:rFonts w:hint="eastAsia" w:ascii="Times New Roman" w:hAnsi="Times New Roman" w:eastAsia="仿宋" w:cs="Times New Roman"/>
          <w:color w:val="000000"/>
          <w:kern w:val="0"/>
          <w:sz w:val="28"/>
          <w:szCs w:val="28"/>
        </w:rPr>
        <w:t>米</w:t>
      </w:r>
      <w:r>
        <w:rPr>
          <w:rFonts w:hint="eastAsia" w:ascii="Times New Roman" w:hAnsi="Times New Roman" w:eastAsia="仿宋" w:cs="Times New Roman"/>
          <w:color w:val="000000"/>
          <w:kern w:val="0"/>
          <w:sz w:val="28"/>
          <w:szCs w:val="28"/>
          <w:lang w:eastAsia="zh-CN"/>
        </w:rPr>
        <w:t>（</w:t>
      </w:r>
      <w:r>
        <w:rPr>
          <w:rFonts w:hint="eastAsia" w:ascii="Times New Roman" w:hAnsi="Times New Roman" w:eastAsia="仿宋" w:cs="Times New Roman"/>
          <w:color w:val="000000"/>
          <w:kern w:val="0"/>
          <w:sz w:val="28"/>
          <w:szCs w:val="28"/>
          <w:lang w:val="en-US" w:eastAsia="zh-CN"/>
        </w:rPr>
        <w:t>不含）</w:t>
      </w:r>
      <w:r>
        <w:rPr>
          <w:rFonts w:ascii="Times New Roman" w:hAnsi="Times New Roman" w:eastAsia="仿宋" w:cs="Times New Roman"/>
          <w:color w:val="000000"/>
          <w:kern w:val="0"/>
          <w:sz w:val="28"/>
          <w:szCs w:val="28"/>
        </w:rPr>
        <w:t>～</w:t>
      </w:r>
      <w:r>
        <w:rPr>
          <w:rFonts w:hint="eastAsia" w:ascii="Times New Roman" w:hAnsi="Times New Roman" w:eastAsia="仿宋" w:cs="Times New Roman"/>
          <w:color w:val="000000"/>
          <w:kern w:val="0"/>
          <w:sz w:val="28"/>
          <w:szCs w:val="28"/>
        </w:rPr>
        <w:t>300（含）</w:t>
      </w:r>
      <w:r>
        <w:rPr>
          <w:rFonts w:ascii="Times New Roman" w:hAnsi="Times New Roman" w:eastAsia="仿宋" w:cs="Times New Roman"/>
          <w:color w:val="000000"/>
          <w:kern w:val="0"/>
          <w:sz w:val="28"/>
          <w:szCs w:val="28"/>
        </w:rPr>
        <w:t>平方</w:t>
      </w:r>
      <w:r>
        <w:rPr>
          <w:rFonts w:hint="eastAsia" w:ascii="Times New Roman" w:hAnsi="Times New Roman" w:eastAsia="仿宋" w:cs="Times New Roman"/>
          <w:color w:val="000000"/>
          <w:kern w:val="0"/>
          <w:sz w:val="28"/>
          <w:szCs w:val="28"/>
        </w:rPr>
        <w:t>米</w:t>
      </w:r>
      <w:r>
        <w:rPr>
          <w:rFonts w:ascii="Times New Roman" w:hAnsi="Times New Roman" w:eastAsia="仿宋" w:cs="Times New Roman"/>
          <w:color w:val="000000"/>
          <w:kern w:val="0"/>
          <w:sz w:val="28"/>
          <w:szCs w:val="28"/>
        </w:rPr>
        <w:t>得</w:t>
      </w:r>
      <w:r>
        <w:rPr>
          <w:rFonts w:hint="eastAsia" w:ascii="Times New Roman" w:hAnsi="Times New Roman" w:eastAsia="仿宋" w:cs="Times New Roman"/>
          <w:color w:val="000000"/>
          <w:kern w:val="0"/>
          <w:sz w:val="28"/>
          <w:szCs w:val="28"/>
        </w:rPr>
        <w:t>1</w:t>
      </w:r>
      <w:r>
        <w:rPr>
          <w:rFonts w:ascii="Times New Roman" w:hAnsi="Times New Roman" w:eastAsia="仿宋" w:cs="Times New Roman"/>
          <w:color w:val="000000"/>
          <w:kern w:val="0"/>
          <w:sz w:val="28"/>
          <w:szCs w:val="28"/>
        </w:rPr>
        <w:t>分，</w:t>
      </w:r>
      <w:r>
        <w:rPr>
          <w:rFonts w:hint="eastAsia" w:ascii="Times New Roman" w:hAnsi="Times New Roman" w:eastAsia="仿宋" w:cs="Times New Roman"/>
          <w:color w:val="000000"/>
          <w:kern w:val="0"/>
          <w:sz w:val="28"/>
          <w:szCs w:val="28"/>
          <w:lang w:val="en-US" w:eastAsia="zh-CN"/>
        </w:rPr>
        <w:t>300</w:t>
      </w:r>
      <w:r>
        <w:rPr>
          <w:rFonts w:ascii="Times New Roman" w:hAnsi="Times New Roman" w:eastAsia="仿宋" w:cs="Times New Roman"/>
          <w:color w:val="000000"/>
          <w:kern w:val="0"/>
          <w:sz w:val="28"/>
          <w:szCs w:val="28"/>
        </w:rPr>
        <w:t>平方</w:t>
      </w:r>
      <w:r>
        <w:rPr>
          <w:rFonts w:hint="eastAsia" w:ascii="Times New Roman" w:hAnsi="Times New Roman" w:eastAsia="仿宋" w:cs="Times New Roman"/>
          <w:color w:val="000000"/>
          <w:kern w:val="0"/>
          <w:sz w:val="28"/>
          <w:szCs w:val="28"/>
        </w:rPr>
        <w:t>米</w:t>
      </w:r>
      <w:r>
        <w:rPr>
          <w:rFonts w:ascii="Times New Roman" w:hAnsi="Times New Roman" w:eastAsia="仿宋" w:cs="Times New Roman"/>
          <w:color w:val="000000"/>
          <w:kern w:val="0"/>
          <w:sz w:val="28"/>
          <w:szCs w:val="28"/>
        </w:rPr>
        <w:t>以下不得分。</w:t>
      </w:r>
    </w:p>
    <w:p w14:paraId="7B68533A">
      <w:pPr>
        <w:snapToGrid w:val="0"/>
        <w:spacing w:line="500" w:lineRule="exact"/>
        <w:ind w:firstLine="562" w:firstLineChars="200"/>
        <w:rPr>
          <w:rFonts w:ascii="Times New Roman" w:hAnsi="Times New Roman" w:eastAsia="仿宋" w:cs="Times New Roman"/>
          <w:bCs/>
          <w:color w:val="000000"/>
          <w:kern w:val="0"/>
          <w:sz w:val="28"/>
          <w:szCs w:val="28"/>
        </w:rPr>
      </w:pPr>
      <w:r>
        <w:rPr>
          <w:rFonts w:hint="eastAsia" w:ascii="Times New Roman" w:hAnsi="Times New Roman" w:eastAsia="仿宋" w:cs="Times New Roman"/>
          <w:b/>
          <w:bCs/>
          <w:color w:val="000000"/>
          <w:kern w:val="0"/>
          <w:sz w:val="28"/>
          <w:szCs w:val="28"/>
        </w:rPr>
        <w:t>（3）</w:t>
      </w:r>
      <w:r>
        <w:rPr>
          <w:rFonts w:ascii="Times New Roman" w:hAnsi="Times New Roman" w:eastAsia="仿宋" w:cs="Times New Roman"/>
          <w:b/>
          <w:bCs/>
          <w:color w:val="000000"/>
          <w:kern w:val="0"/>
          <w:sz w:val="28"/>
          <w:szCs w:val="28"/>
        </w:rPr>
        <w:t>适用于7标段。</w:t>
      </w:r>
      <w:r>
        <w:rPr>
          <w:rFonts w:ascii="Times New Roman" w:hAnsi="Times New Roman" w:eastAsia="仿宋" w:cs="Times New Roman"/>
          <w:bCs/>
          <w:color w:val="000000"/>
          <w:kern w:val="0"/>
          <w:sz w:val="28"/>
          <w:szCs w:val="28"/>
        </w:rPr>
        <w:t>仓储面积低于500</w:t>
      </w:r>
      <w:r>
        <w:rPr>
          <w:rFonts w:ascii="Times New Roman" w:hAnsi="Times New Roman" w:eastAsia="仿宋" w:cs="Times New Roman"/>
          <w:color w:val="000000"/>
          <w:kern w:val="0"/>
          <w:sz w:val="28"/>
          <w:szCs w:val="28"/>
        </w:rPr>
        <w:t>平方米</w:t>
      </w:r>
      <w:r>
        <w:rPr>
          <w:rFonts w:ascii="Times New Roman" w:hAnsi="Times New Roman" w:eastAsia="仿宋" w:cs="Times New Roman"/>
          <w:bCs/>
          <w:color w:val="000000"/>
          <w:kern w:val="0"/>
          <w:sz w:val="28"/>
          <w:szCs w:val="28"/>
        </w:rPr>
        <w:t>不得分，每满500</w:t>
      </w:r>
      <w:r>
        <w:rPr>
          <w:rFonts w:ascii="Times New Roman" w:hAnsi="Times New Roman" w:eastAsia="仿宋" w:cs="Times New Roman"/>
          <w:color w:val="000000"/>
          <w:kern w:val="0"/>
          <w:sz w:val="28"/>
          <w:szCs w:val="28"/>
        </w:rPr>
        <w:t>平方米</w:t>
      </w:r>
      <w:r>
        <w:rPr>
          <w:rFonts w:ascii="Times New Roman" w:hAnsi="Times New Roman" w:eastAsia="仿宋" w:cs="Times New Roman"/>
          <w:bCs/>
          <w:color w:val="000000"/>
          <w:kern w:val="0"/>
          <w:sz w:val="28"/>
          <w:szCs w:val="28"/>
        </w:rPr>
        <w:t>加2分，最高加8分。</w:t>
      </w:r>
    </w:p>
    <w:p w14:paraId="6C4DDE44">
      <w:pPr>
        <w:snapToGrid w:val="0"/>
        <w:spacing w:line="500" w:lineRule="exact"/>
        <w:ind w:firstLine="562" w:firstLineChars="200"/>
        <w:rPr>
          <w:rFonts w:ascii="Times New Roman" w:hAnsi="Times New Roman" w:eastAsia="仿宋" w:cs="Times New Roman"/>
          <w:b/>
          <w:bCs/>
          <w:color w:val="000000"/>
          <w:kern w:val="0"/>
          <w:sz w:val="28"/>
          <w:szCs w:val="28"/>
        </w:rPr>
      </w:pPr>
      <w:r>
        <w:rPr>
          <w:rFonts w:ascii="Times New Roman" w:hAnsi="Times New Roman" w:eastAsia="仿宋" w:cs="Times New Roman"/>
          <w:b/>
          <w:bCs/>
          <w:color w:val="000000"/>
          <w:kern w:val="0"/>
          <w:sz w:val="28"/>
          <w:szCs w:val="28"/>
        </w:rPr>
        <w:t>（</w:t>
      </w:r>
      <w:r>
        <w:rPr>
          <w:rFonts w:hint="eastAsia" w:ascii="Times New Roman" w:hAnsi="Times New Roman" w:eastAsia="仿宋" w:cs="Times New Roman"/>
          <w:b/>
          <w:bCs/>
          <w:color w:val="000000"/>
          <w:kern w:val="0"/>
          <w:sz w:val="28"/>
          <w:szCs w:val="28"/>
        </w:rPr>
        <w:t>4</w:t>
      </w:r>
      <w:r>
        <w:rPr>
          <w:rFonts w:ascii="Times New Roman" w:hAnsi="Times New Roman" w:eastAsia="仿宋" w:cs="Times New Roman"/>
          <w:b/>
          <w:bCs/>
          <w:color w:val="000000"/>
          <w:kern w:val="0"/>
          <w:sz w:val="28"/>
          <w:szCs w:val="28"/>
        </w:rPr>
        <w:t>）适用于3、5、8标段。</w:t>
      </w:r>
    </w:p>
    <w:p w14:paraId="0254BCD6">
      <w:pPr>
        <w:snapToGrid w:val="0"/>
        <w:spacing w:line="500" w:lineRule="exact"/>
        <w:ind w:firstLine="560" w:firstLineChars="200"/>
        <w:rPr>
          <w:rFonts w:ascii="Times New Roman" w:hAnsi="Times New Roman" w:eastAsia="仿宋" w:cs="Times New Roman"/>
          <w:bCs/>
          <w:color w:val="000000"/>
          <w:kern w:val="0"/>
          <w:sz w:val="28"/>
          <w:szCs w:val="28"/>
        </w:rPr>
      </w:pPr>
      <w:bookmarkStart w:id="9" w:name="OLE_LINK6"/>
      <w:r>
        <w:rPr>
          <w:rFonts w:ascii="Times New Roman" w:hAnsi="Times New Roman" w:eastAsia="仿宋" w:cs="Times New Roman"/>
          <w:bCs/>
          <w:color w:val="000000"/>
          <w:kern w:val="0"/>
          <w:sz w:val="28"/>
          <w:szCs w:val="28"/>
        </w:rPr>
        <w:t>冷链仓储面积低于500 平方米不得分，每满500 平方米加2分，最高加8分。</w:t>
      </w:r>
    </w:p>
    <w:bookmarkEnd w:id="9"/>
    <w:p w14:paraId="07DD010A">
      <w:pPr>
        <w:snapToGrid w:val="0"/>
        <w:spacing w:line="500" w:lineRule="exact"/>
        <w:ind w:firstLine="562" w:firstLineChars="200"/>
        <w:rPr>
          <w:rFonts w:ascii="Times New Roman" w:hAnsi="Times New Roman" w:eastAsia="仿宋" w:cs="Times New Roman"/>
          <w:b/>
          <w:color w:val="000000"/>
          <w:kern w:val="0"/>
          <w:sz w:val="28"/>
          <w:szCs w:val="28"/>
        </w:rPr>
      </w:pPr>
      <w:r>
        <w:rPr>
          <w:rFonts w:hint="eastAsia" w:ascii="Times New Roman" w:hAnsi="Times New Roman" w:eastAsia="仿宋" w:cs="Times New Roman"/>
          <w:b/>
          <w:color w:val="000000"/>
          <w:kern w:val="0"/>
          <w:sz w:val="28"/>
          <w:szCs w:val="28"/>
        </w:rPr>
        <w:t>仓储：以上（1）-（4）内仓储</w:t>
      </w:r>
      <w:r>
        <w:rPr>
          <w:rFonts w:ascii="Times New Roman" w:hAnsi="Times New Roman" w:eastAsia="仿宋" w:cs="Times New Roman"/>
          <w:b/>
          <w:color w:val="000000"/>
          <w:kern w:val="0"/>
          <w:sz w:val="28"/>
          <w:szCs w:val="28"/>
        </w:rPr>
        <w:t>须提供仓库（冷库）的</w:t>
      </w:r>
      <w:r>
        <w:rPr>
          <w:rFonts w:hint="eastAsia" w:ascii="Times New Roman" w:hAnsi="Times New Roman" w:eastAsia="仿宋" w:cs="Times New Roman"/>
          <w:b/>
          <w:color w:val="000000"/>
          <w:kern w:val="0"/>
          <w:sz w:val="28"/>
          <w:szCs w:val="28"/>
        </w:rPr>
        <w:t>实景彩图</w:t>
      </w:r>
      <w:r>
        <w:rPr>
          <w:rFonts w:ascii="Times New Roman" w:hAnsi="Times New Roman" w:eastAsia="仿宋" w:cs="Times New Roman"/>
          <w:b/>
          <w:color w:val="000000"/>
          <w:kern w:val="0"/>
          <w:sz w:val="28"/>
          <w:szCs w:val="28"/>
        </w:rPr>
        <w:t>。自有仓库（冷库）的须提供相关产权证明复印件，租赁仓库（冷库）的须提供租赁协议及出租方相关产权证明复印件。</w:t>
      </w:r>
    </w:p>
    <w:p w14:paraId="447D7EF4">
      <w:pPr>
        <w:snapToGrid w:val="0"/>
        <w:spacing w:line="500" w:lineRule="exact"/>
        <w:ind w:firstLine="562" w:firstLineChars="200"/>
        <w:rPr>
          <w:rFonts w:ascii="Times New Roman" w:hAnsi="Times New Roman" w:eastAsia="仿宋" w:cs="Times New Roman"/>
          <w:b/>
          <w:color w:val="000000"/>
          <w:kern w:val="0"/>
          <w:sz w:val="28"/>
          <w:szCs w:val="28"/>
        </w:rPr>
      </w:pPr>
      <w:r>
        <w:rPr>
          <w:rFonts w:hint="eastAsia" w:ascii="Times New Roman" w:hAnsi="Times New Roman" w:eastAsia="仿宋" w:cs="Times New Roman"/>
          <w:b/>
          <w:color w:val="000000"/>
          <w:kern w:val="0"/>
          <w:sz w:val="28"/>
          <w:szCs w:val="28"/>
        </w:rPr>
        <w:t>注：以上资料未按要求</w:t>
      </w:r>
      <w:r>
        <w:rPr>
          <w:rFonts w:ascii="Times New Roman" w:hAnsi="Times New Roman" w:eastAsia="仿宋" w:cs="Times New Roman"/>
          <w:b/>
          <w:color w:val="000000"/>
          <w:kern w:val="0"/>
          <w:sz w:val="28"/>
          <w:szCs w:val="28"/>
        </w:rPr>
        <w:t>提供或提供不全的，不得分。中标后，中标单位提供上述</w:t>
      </w:r>
      <w:r>
        <w:rPr>
          <w:rFonts w:hint="eastAsia" w:ascii="Times New Roman" w:hAnsi="Times New Roman" w:eastAsia="仿宋" w:cs="Times New Roman"/>
          <w:b/>
          <w:color w:val="000000"/>
          <w:kern w:val="0"/>
          <w:sz w:val="28"/>
          <w:szCs w:val="28"/>
          <w:lang w:val="en-US" w:eastAsia="zh-CN"/>
        </w:rPr>
        <w:t>材料</w:t>
      </w:r>
      <w:r>
        <w:rPr>
          <w:rFonts w:ascii="Times New Roman" w:hAnsi="Times New Roman" w:eastAsia="仿宋" w:cs="Times New Roman"/>
          <w:b/>
          <w:color w:val="000000"/>
          <w:kern w:val="0"/>
          <w:sz w:val="28"/>
          <w:szCs w:val="28"/>
        </w:rPr>
        <w:t>原件供学校核查。</w:t>
      </w:r>
    </w:p>
    <w:p w14:paraId="1D7C2875">
      <w:pPr>
        <w:snapToGrid w:val="0"/>
        <w:spacing w:line="500" w:lineRule="exact"/>
        <w:ind w:firstLine="554" w:firstLineChars="198"/>
        <w:rPr>
          <w:rFonts w:ascii="Times New Roman" w:hAnsi="Times New Roman" w:eastAsia="仿宋" w:cs="Times New Roman"/>
          <w:color w:val="000000" w:themeColor="text1"/>
          <w:sz w:val="28"/>
          <w:szCs w:val="28"/>
          <w14:textFill>
            <w14:solidFill>
              <w14:schemeClr w14:val="tx1"/>
            </w14:solidFill>
          </w14:textFill>
        </w:rPr>
      </w:pPr>
      <w:r>
        <w:rPr>
          <w:rFonts w:ascii="Times New Roman" w:hAnsi="Times New Roman" w:eastAsia="仿宋" w:cs="Times New Roman"/>
          <w:color w:val="000000" w:themeColor="text1"/>
          <w:sz w:val="28"/>
          <w:szCs w:val="28"/>
          <w14:textFill>
            <w14:solidFill>
              <w14:schemeClr w14:val="tx1"/>
            </w14:solidFill>
          </w14:textFill>
        </w:rPr>
        <w:t>（五）</w:t>
      </w:r>
      <w:r>
        <w:rPr>
          <w:rFonts w:hint="eastAsia" w:ascii="Times New Roman" w:hAnsi="Times New Roman" w:eastAsia="仿宋" w:cs="Times New Roman"/>
          <w:color w:val="000000" w:themeColor="text1"/>
          <w:sz w:val="28"/>
          <w:szCs w:val="28"/>
          <w14:textFill>
            <w14:solidFill>
              <w14:schemeClr w14:val="tx1"/>
            </w14:solidFill>
          </w14:textFill>
        </w:rPr>
        <w:t>食品安全保障机制（</w:t>
      </w:r>
      <w:r>
        <w:rPr>
          <w:rFonts w:ascii="Times New Roman" w:hAnsi="Times New Roman" w:eastAsia="仿宋" w:cs="Times New Roman"/>
          <w:color w:val="000000" w:themeColor="text1"/>
          <w:sz w:val="28"/>
          <w:szCs w:val="28"/>
          <w14:textFill>
            <w14:solidFill>
              <w14:schemeClr w14:val="tx1"/>
            </w14:solidFill>
          </w14:textFill>
        </w:rPr>
        <w:t>9分</w:t>
      </w:r>
      <w:r>
        <w:rPr>
          <w:rFonts w:hint="eastAsia" w:ascii="Times New Roman" w:hAnsi="Times New Roman" w:eastAsia="仿宋" w:cs="Times New Roman"/>
          <w:color w:val="000000" w:themeColor="text1"/>
          <w:sz w:val="28"/>
          <w:szCs w:val="28"/>
          <w14:textFill>
            <w14:solidFill>
              <w14:schemeClr w14:val="tx1"/>
            </w14:solidFill>
          </w14:textFill>
        </w:rPr>
        <w:t>）</w:t>
      </w:r>
    </w:p>
    <w:p w14:paraId="3F28C22F">
      <w:pPr>
        <w:snapToGrid w:val="0"/>
        <w:spacing w:line="500" w:lineRule="exact"/>
        <w:ind w:firstLine="554" w:firstLineChars="198"/>
        <w:rPr>
          <w:rFonts w:ascii="Times New Roman" w:hAnsi="Times New Roman" w:eastAsia="仿宋" w:cs="Times New Roman"/>
          <w:color w:val="000000" w:themeColor="text1"/>
          <w:sz w:val="28"/>
          <w:szCs w:val="28"/>
          <w14:textFill>
            <w14:solidFill>
              <w14:schemeClr w14:val="tx1"/>
            </w14:solidFill>
          </w14:textFill>
        </w:rPr>
      </w:pPr>
      <w:r>
        <w:rPr>
          <w:rFonts w:hint="eastAsia" w:ascii="Times New Roman" w:hAnsi="Times New Roman" w:eastAsia="仿宋" w:cs="Times New Roman"/>
          <w:color w:val="000000" w:themeColor="text1"/>
          <w:sz w:val="28"/>
          <w:szCs w:val="28"/>
          <w14:textFill>
            <w14:solidFill>
              <w14:schemeClr w14:val="tx1"/>
            </w14:solidFill>
          </w14:textFill>
        </w:rPr>
        <w:t>根据投标单位对食品安全保障机制的建立、实施情况（包括但不限于食品安全管理组织架构及职责、全流程食品安全管理制度、食品安全风险管控制度</w:t>
      </w:r>
      <w:r>
        <w:rPr>
          <w:rFonts w:hint="eastAsia" w:ascii="Times New Roman" w:hAnsi="Times New Roman" w:eastAsia="仿宋" w:cs="Times New Roman"/>
          <w:bCs/>
          <w:color w:val="000000" w:themeColor="text1"/>
          <w:sz w:val="28"/>
          <w:szCs w:val="28"/>
          <w14:textFill>
            <w14:solidFill>
              <w14:schemeClr w14:val="tx1"/>
            </w14:solidFill>
          </w14:textFill>
        </w:rPr>
        <w:t>等）</w:t>
      </w:r>
      <w:r>
        <w:rPr>
          <w:rFonts w:hint="eastAsia" w:ascii="Times New Roman" w:hAnsi="Times New Roman" w:eastAsia="仿宋" w:cs="Times New Roman"/>
          <w:color w:val="000000" w:themeColor="text1"/>
          <w:sz w:val="28"/>
          <w:szCs w:val="28"/>
          <w14:textFill>
            <w14:solidFill>
              <w14:schemeClr w14:val="tx1"/>
            </w14:solidFill>
          </w14:textFill>
        </w:rPr>
        <w:t>综合打分。</w:t>
      </w:r>
    </w:p>
    <w:p w14:paraId="19AE48F6">
      <w:pPr>
        <w:snapToGrid w:val="0"/>
        <w:spacing w:line="500" w:lineRule="exact"/>
        <w:ind w:firstLine="554" w:firstLineChars="198"/>
        <w:rPr>
          <w:rFonts w:ascii="Times New Roman" w:hAnsi="Times New Roman" w:eastAsia="仿宋" w:cs="Times New Roman"/>
          <w:color w:val="000000" w:themeColor="text1"/>
          <w:sz w:val="28"/>
          <w:szCs w:val="28"/>
          <w14:textFill>
            <w14:solidFill>
              <w14:schemeClr w14:val="tx1"/>
            </w14:solidFill>
          </w14:textFill>
        </w:rPr>
      </w:pPr>
      <w:r>
        <w:rPr>
          <w:rFonts w:hint="eastAsia" w:ascii="Times New Roman" w:hAnsi="Times New Roman" w:eastAsia="仿宋" w:cs="Times New Roman"/>
          <w:color w:val="000000" w:themeColor="text1"/>
          <w:sz w:val="28"/>
          <w:szCs w:val="28"/>
          <w14:textFill>
            <w14:solidFill>
              <w14:schemeClr w14:val="tx1"/>
            </w14:solidFill>
          </w14:textFill>
        </w:rPr>
        <w:t>食品安全保障机制</w:t>
      </w:r>
      <w:r>
        <w:rPr>
          <w:rFonts w:hint="eastAsia" w:ascii="Times New Roman" w:hAnsi="Times New Roman" w:eastAsia="仿宋" w:cs="Times New Roman"/>
          <w:bCs/>
          <w:color w:val="000000" w:themeColor="text1"/>
          <w:sz w:val="28"/>
          <w:szCs w:val="28"/>
          <w14:textFill>
            <w14:solidFill>
              <w14:schemeClr w14:val="tx1"/>
            </w14:solidFill>
          </w14:textFill>
        </w:rPr>
        <w:t>完善详细，措施合理，操作性强的得</w:t>
      </w:r>
      <w:r>
        <w:rPr>
          <w:rFonts w:ascii="Times New Roman" w:hAnsi="Times New Roman" w:eastAsia="仿宋" w:cs="Times New Roman"/>
          <w:bCs/>
          <w:color w:val="000000" w:themeColor="text1"/>
          <w:sz w:val="28"/>
          <w:szCs w:val="28"/>
          <w14:textFill>
            <w14:solidFill>
              <w14:schemeClr w14:val="tx1"/>
            </w14:solidFill>
          </w14:textFill>
        </w:rPr>
        <w:t>9</w:t>
      </w:r>
      <w:r>
        <w:rPr>
          <w:rFonts w:hint="eastAsia" w:ascii="Times New Roman" w:hAnsi="Times New Roman" w:eastAsia="仿宋" w:cs="Times New Roman"/>
          <w:bCs/>
          <w:color w:val="000000" w:themeColor="text1"/>
          <w:sz w:val="28"/>
          <w:szCs w:val="28"/>
          <w14:textFill>
            <w14:solidFill>
              <w14:schemeClr w14:val="tx1"/>
            </w14:solidFill>
          </w14:textFill>
        </w:rPr>
        <w:t>分；食品安全保障机制完善较详细，措施较合理，操作性较强的得</w:t>
      </w:r>
      <w:r>
        <w:rPr>
          <w:rFonts w:hint="eastAsia" w:ascii="Times New Roman" w:hAnsi="Times New Roman" w:eastAsia="仿宋" w:cs="Times New Roman"/>
          <w:bCs/>
          <w:color w:val="000000" w:themeColor="text1"/>
          <w:sz w:val="28"/>
          <w:szCs w:val="28"/>
          <w:lang w:val="en-US" w:eastAsia="zh-CN"/>
          <w14:textFill>
            <w14:solidFill>
              <w14:schemeClr w14:val="tx1"/>
            </w14:solidFill>
          </w14:textFill>
        </w:rPr>
        <w:t>6</w:t>
      </w:r>
      <w:r>
        <w:rPr>
          <w:rFonts w:hint="eastAsia" w:ascii="Times New Roman" w:hAnsi="Times New Roman" w:eastAsia="仿宋" w:cs="Times New Roman"/>
          <w:bCs/>
          <w:color w:val="000000" w:themeColor="text1"/>
          <w:sz w:val="28"/>
          <w:szCs w:val="28"/>
          <w14:textFill>
            <w14:solidFill>
              <w14:schemeClr w14:val="tx1"/>
            </w14:solidFill>
          </w14:textFill>
        </w:rPr>
        <w:t>分；食品安全保障机制简单，措施部分合理，操作性较弱的得</w:t>
      </w:r>
      <w:r>
        <w:rPr>
          <w:rFonts w:hint="eastAsia" w:ascii="Times New Roman" w:hAnsi="Times New Roman" w:eastAsia="仿宋" w:cs="Times New Roman"/>
          <w:bCs/>
          <w:color w:val="000000" w:themeColor="text1"/>
          <w:sz w:val="28"/>
          <w:szCs w:val="28"/>
          <w:lang w:val="en-US" w:eastAsia="zh-CN"/>
          <w14:textFill>
            <w14:solidFill>
              <w14:schemeClr w14:val="tx1"/>
            </w14:solidFill>
          </w14:textFill>
        </w:rPr>
        <w:t>4</w:t>
      </w:r>
      <w:r>
        <w:rPr>
          <w:rFonts w:hint="eastAsia" w:ascii="Times New Roman" w:hAnsi="Times New Roman" w:eastAsia="仿宋" w:cs="Times New Roman"/>
          <w:bCs/>
          <w:color w:val="000000" w:themeColor="text1"/>
          <w:sz w:val="28"/>
          <w:szCs w:val="28"/>
          <w14:textFill>
            <w14:solidFill>
              <w14:schemeClr w14:val="tx1"/>
            </w14:solidFill>
          </w14:textFill>
        </w:rPr>
        <w:t>分；食品安全保障机制内容缺失，措施不明确，操作性差的得</w:t>
      </w:r>
      <w:r>
        <w:rPr>
          <w:rFonts w:hint="eastAsia" w:ascii="Times New Roman" w:hAnsi="Times New Roman" w:eastAsia="仿宋" w:cs="Times New Roman"/>
          <w:bCs/>
          <w:color w:val="000000" w:themeColor="text1"/>
          <w:sz w:val="28"/>
          <w:szCs w:val="28"/>
          <w:lang w:val="en-US" w:eastAsia="zh-CN"/>
          <w14:textFill>
            <w14:solidFill>
              <w14:schemeClr w14:val="tx1"/>
            </w14:solidFill>
          </w14:textFill>
        </w:rPr>
        <w:t>2</w:t>
      </w:r>
      <w:r>
        <w:rPr>
          <w:rFonts w:hint="eastAsia" w:ascii="Times New Roman" w:hAnsi="Times New Roman" w:eastAsia="仿宋" w:cs="Times New Roman"/>
          <w:bCs/>
          <w:color w:val="000000" w:themeColor="text1"/>
          <w:sz w:val="28"/>
          <w:szCs w:val="28"/>
          <w14:textFill>
            <w14:solidFill>
              <w14:schemeClr w14:val="tx1"/>
            </w14:solidFill>
          </w14:textFill>
        </w:rPr>
        <w:t>分；不提供不得分。</w:t>
      </w:r>
    </w:p>
    <w:p w14:paraId="4E31CE92">
      <w:pPr>
        <w:snapToGrid w:val="0"/>
        <w:spacing w:line="500" w:lineRule="exact"/>
        <w:ind w:firstLine="557" w:firstLineChars="198"/>
        <w:rPr>
          <w:rFonts w:ascii="Times New Roman" w:hAnsi="Times New Roman" w:eastAsia="仿宋" w:cs="Times New Roman"/>
          <w:b/>
          <w:color w:val="000000" w:themeColor="text1"/>
          <w:sz w:val="28"/>
          <w:szCs w:val="28"/>
          <w14:textFill>
            <w14:solidFill>
              <w14:schemeClr w14:val="tx1"/>
            </w14:solidFill>
          </w14:textFill>
        </w:rPr>
      </w:pPr>
      <w:r>
        <w:rPr>
          <w:rFonts w:hint="eastAsia" w:ascii="Times New Roman" w:hAnsi="Times New Roman" w:eastAsia="仿宋" w:cs="Times New Roman"/>
          <w:b/>
          <w:color w:val="000000" w:themeColor="text1"/>
          <w:sz w:val="28"/>
          <w:szCs w:val="28"/>
          <w14:textFill>
            <w14:solidFill>
              <w14:schemeClr w14:val="tx1"/>
            </w14:solidFill>
          </w14:textFill>
        </w:rPr>
        <w:t>注：以上食品安全保障机制需提供操作规范、检测设备场所等相关图片的证明材料。</w:t>
      </w:r>
    </w:p>
    <w:p w14:paraId="67CEA2A2">
      <w:pPr>
        <w:snapToGrid w:val="0"/>
        <w:spacing w:line="500" w:lineRule="exact"/>
        <w:ind w:firstLine="554" w:firstLineChars="198"/>
        <w:rPr>
          <w:rFonts w:ascii="Times New Roman" w:hAnsi="Times New Roman" w:eastAsia="仿宋" w:cs="Times New Roman"/>
          <w:b/>
          <w:bCs/>
          <w:color w:val="000000" w:themeColor="text1"/>
          <w:sz w:val="28"/>
          <w:szCs w:val="28"/>
          <w14:textFill>
            <w14:solidFill>
              <w14:schemeClr w14:val="tx1"/>
            </w14:solidFill>
          </w14:textFill>
        </w:rPr>
      </w:pPr>
      <w:r>
        <w:rPr>
          <w:rFonts w:ascii="Times New Roman" w:hAnsi="Times New Roman" w:eastAsia="仿宋" w:cs="Times New Roman"/>
          <w:color w:val="000000" w:themeColor="text1"/>
          <w:sz w:val="28"/>
          <w:szCs w:val="28"/>
          <w14:textFill>
            <w14:solidFill>
              <w14:schemeClr w14:val="tx1"/>
            </w14:solidFill>
          </w14:textFill>
        </w:rPr>
        <w:t>（六）服务团队配备（3分）</w:t>
      </w:r>
    </w:p>
    <w:p w14:paraId="7D421AC2">
      <w:pPr>
        <w:snapToGrid w:val="0"/>
        <w:spacing w:line="500" w:lineRule="exact"/>
        <w:ind w:firstLine="554" w:firstLineChars="198"/>
        <w:rPr>
          <w:rFonts w:ascii="Times New Roman" w:hAnsi="Times New Roman" w:eastAsia="仿宋" w:cs="Times New Roman"/>
          <w:color w:val="000000"/>
          <w:sz w:val="28"/>
          <w:szCs w:val="28"/>
        </w:rPr>
      </w:pPr>
      <w:r>
        <w:rPr>
          <w:rFonts w:ascii="Times New Roman" w:hAnsi="Times New Roman" w:eastAsia="仿宋" w:cs="Times New Roman"/>
          <w:color w:val="000000"/>
          <w:sz w:val="28"/>
          <w:szCs w:val="28"/>
        </w:rPr>
        <w:t>1.根据投标单位为所投标段配备的项目负责人情况进行评分（2分）。项目负责人具有本科及以上学历的，得1分；具有3年及以上类似项目经历的，得1分。</w:t>
      </w:r>
    </w:p>
    <w:p w14:paraId="6C09729E">
      <w:pPr>
        <w:snapToGrid w:val="0"/>
        <w:spacing w:line="500" w:lineRule="exact"/>
        <w:ind w:firstLine="554" w:firstLineChars="198"/>
        <w:rPr>
          <w:rFonts w:ascii="Times New Roman" w:hAnsi="Times New Roman" w:eastAsia="仿宋" w:cs="Times New Roman"/>
          <w:color w:val="000000"/>
          <w:sz w:val="28"/>
          <w:szCs w:val="28"/>
        </w:rPr>
      </w:pPr>
      <w:r>
        <w:rPr>
          <w:rFonts w:ascii="Times New Roman" w:hAnsi="Times New Roman" w:eastAsia="仿宋" w:cs="Times New Roman"/>
          <w:color w:val="000000"/>
          <w:sz w:val="28"/>
          <w:szCs w:val="28"/>
        </w:rPr>
        <w:t>2.除项目负责人外，为项目配备2名骨干团队人员的，得1分，须提供人员名单和基本信息，否则不得分。</w:t>
      </w:r>
    </w:p>
    <w:p w14:paraId="417F1833">
      <w:pPr>
        <w:snapToGrid w:val="0"/>
        <w:spacing w:line="500" w:lineRule="exact"/>
        <w:ind w:firstLine="562" w:firstLineChars="200"/>
        <w:rPr>
          <w:rFonts w:ascii="Times New Roman" w:hAnsi="Times New Roman" w:eastAsia="仿宋" w:cs="Times New Roman"/>
          <w:b/>
          <w:bCs/>
          <w:color w:val="000000"/>
          <w:sz w:val="28"/>
          <w:szCs w:val="28"/>
        </w:rPr>
      </w:pPr>
      <w:r>
        <w:rPr>
          <w:rFonts w:ascii="Times New Roman" w:hAnsi="Times New Roman" w:eastAsia="仿宋" w:cs="Times New Roman"/>
          <w:b/>
          <w:bCs/>
          <w:color w:val="000000"/>
          <w:sz w:val="28"/>
          <w:szCs w:val="28"/>
        </w:rPr>
        <w:t>注：以上须提供学历证书、劳动合同等相关证明材料及投标单位近3个月为其缴纳的社保证明复印件，否则不得分。</w:t>
      </w:r>
    </w:p>
    <w:p w14:paraId="43D03FA8">
      <w:pPr>
        <w:snapToGrid w:val="0"/>
        <w:spacing w:line="500" w:lineRule="exact"/>
        <w:ind w:firstLine="554" w:firstLineChars="198"/>
        <w:rPr>
          <w:rFonts w:ascii="Times New Roman" w:hAnsi="Times New Roman" w:eastAsia="仿宋" w:cs="Times New Roman"/>
          <w:color w:val="000000" w:themeColor="text1"/>
          <w:sz w:val="28"/>
          <w:szCs w:val="28"/>
          <w14:textFill>
            <w14:solidFill>
              <w14:schemeClr w14:val="tx1"/>
            </w14:solidFill>
          </w14:textFill>
        </w:rPr>
      </w:pPr>
      <w:r>
        <w:rPr>
          <w:rFonts w:ascii="Times New Roman" w:hAnsi="Times New Roman" w:eastAsia="仿宋" w:cs="Times New Roman"/>
          <w:color w:val="000000" w:themeColor="text1"/>
          <w:sz w:val="28"/>
          <w:szCs w:val="28"/>
          <w14:textFill>
            <w14:solidFill>
              <w14:schemeClr w14:val="tx1"/>
            </w14:solidFill>
          </w14:textFill>
        </w:rPr>
        <w:t>（七）食品安全责任险（3分）</w:t>
      </w:r>
    </w:p>
    <w:p w14:paraId="2726F5C9">
      <w:pPr>
        <w:spacing w:line="500" w:lineRule="exact"/>
        <w:ind w:firstLine="560" w:firstLineChars="200"/>
        <w:rPr>
          <w:rFonts w:ascii="仿宋" w:hAnsi="仿宋" w:eastAsia="仿宋" w:cs="仿宋"/>
          <w:bCs/>
          <w:color w:val="000000" w:themeColor="text1"/>
          <w:sz w:val="28"/>
          <w:szCs w:val="28"/>
          <w14:textFill>
            <w14:solidFill>
              <w14:schemeClr w14:val="tx1"/>
            </w14:solidFill>
          </w14:textFill>
        </w:rPr>
      </w:pPr>
      <w:r>
        <w:rPr>
          <w:rFonts w:hint="eastAsia" w:ascii="仿宋" w:hAnsi="仿宋" w:eastAsia="仿宋" w:cs="仿宋"/>
          <w:bCs/>
          <w:color w:val="000000" w:themeColor="text1"/>
          <w:sz w:val="28"/>
          <w:szCs w:val="28"/>
          <w14:textFill>
            <w14:solidFill>
              <w14:schemeClr w14:val="tx1"/>
            </w14:solidFill>
          </w14:textFill>
        </w:rPr>
        <w:t>根据投标单位承诺的服务期内为我校足额购买食品安全责任险情况进行评定。保额在500万元及以上的，得3分；400万元及以上，500万元以下的，得2分；300万元及以上，400万元以下的，得1分。</w:t>
      </w:r>
    </w:p>
    <w:p w14:paraId="1CAFED20">
      <w:pPr>
        <w:snapToGrid w:val="0"/>
        <w:spacing w:line="500" w:lineRule="exact"/>
        <w:ind w:firstLine="557" w:firstLineChars="198"/>
        <w:rPr>
          <w:rFonts w:ascii="Times New Roman" w:hAnsi="Times New Roman" w:eastAsia="仿宋" w:cs="Times New Roman"/>
          <w:b/>
          <w:bCs/>
          <w:color w:val="000000" w:themeColor="text1"/>
          <w:sz w:val="28"/>
          <w:szCs w:val="28"/>
          <w14:textFill>
            <w14:solidFill>
              <w14:schemeClr w14:val="tx1"/>
            </w14:solidFill>
          </w14:textFill>
        </w:rPr>
      </w:pPr>
      <w:r>
        <w:rPr>
          <w:rFonts w:hint="eastAsia" w:ascii="仿宋" w:hAnsi="仿宋" w:eastAsia="仿宋" w:cs="仿宋"/>
          <w:b/>
          <w:color w:val="000000" w:themeColor="text1"/>
          <w:sz w:val="28"/>
          <w:szCs w:val="28"/>
          <w14:textFill>
            <w14:solidFill>
              <w14:schemeClr w14:val="tx1"/>
            </w14:solidFill>
          </w14:textFill>
        </w:rPr>
        <w:t>注：须提供承诺函，否则不得分。</w:t>
      </w:r>
    </w:p>
    <w:p w14:paraId="24289495">
      <w:pPr>
        <w:snapToGrid w:val="0"/>
        <w:spacing w:line="500" w:lineRule="exact"/>
        <w:ind w:firstLine="554" w:firstLineChars="198"/>
        <w:rPr>
          <w:rFonts w:ascii="Times New Roman" w:hAnsi="Times New Roman" w:eastAsia="仿宋" w:cs="Times New Roman"/>
          <w:b/>
          <w:color w:val="000000" w:themeColor="text1"/>
          <w:sz w:val="28"/>
          <w:szCs w:val="28"/>
          <w14:textFill>
            <w14:solidFill>
              <w14:schemeClr w14:val="tx1"/>
            </w14:solidFill>
          </w14:textFill>
        </w:rPr>
      </w:pPr>
      <w:r>
        <w:rPr>
          <w:rFonts w:ascii="Times New Roman" w:hAnsi="Times New Roman" w:eastAsia="仿宋" w:cs="Times New Roman"/>
          <w:color w:val="000000" w:themeColor="text1"/>
          <w:sz w:val="28"/>
          <w:szCs w:val="28"/>
          <w14:textFill>
            <w14:solidFill>
              <w14:schemeClr w14:val="tx1"/>
            </w14:solidFill>
          </w14:textFill>
        </w:rPr>
        <w:t>（八）</w:t>
      </w:r>
      <w:bookmarkStart w:id="10" w:name="OLE_LINK10"/>
      <w:r>
        <w:rPr>
          <w:rFonts w:hint="eastAsia" w:ascii="Times New Roman" w:hAnsi="Times New Roman" w:eastAsia="仿宋" w:cs="Times New Roman"/>
          <w:color w:val="000000" w:themeColor="text1"/>
          <w:sz w:val="28"/>
          <w:szCs w:val="28"/>
          <w14:textFill>
            <w14:solidFill>
              <w14:schemeClr w14:val="tx1"/>
            </w14:solidFill>
          </w14:textFill>
        </w:rPr>
        <w:t>应急处理实施方案（</w:t>
      </w:r>
      <w:r>
        <w:rPr>
          <w:rFonts w:ascii="Times New Roman" w:hAnsi="Times New Roman" w:eastAsia="仿宋" w:cs="Times New Roman"/>
          <w:color w:val="000000" w:themeColor="text1"/>
          <w:sz w:val="28"/>
          <w:szCs w:val="28"/>
          <w14:textFill>
            <w14:solidFill>
              <w14:schemeClr w14:val="tx1"/>
            </w14:solidFill>
          </w14:textFill>
        </w:rPr>
        <w:t>10</w:t>
      </w:r>
      <w:r>
        <w:rPr>
          <w:rFonts w:hint="eastAsia" w:ascii="Times New Roman" w:hAnsi="Times New Roman" w:eastAsia="仿宋" w:cs="Times New Roman"/>
          <w:color w:val="000000" w:themeColor="text1"/>
          <w:sz w:val="28"/>
          <w:szCs w:val="28"/>
          <w14:textFill>
            <w14:solidFill>
              <w14:schemeClr w14:val="tx1"/>
            </w14:solidFill>
          </w14:textFill>
        </w:rPr>
        <w:t>分）</w:t>
      </w:r>
    </w:p>
    <w:p w14:paraId="43D8D532">
      <w:pPr>
        <w:snapToGrid w:val="0"/>
        <w:spacing w:line="500" w:lineRule="exact"/>
        <w:ind w:firstLine="554" w:firstLineChars="198"/>
        <w:rPr>
          <w:rFonts w:ascii="Times New Roman" w:hAnsi="Times New Roman" w:eastAsia="仿宋" w:cs="Times New Roman"/>
          <w:color w:val="000000" w:themeColor="text1"/>
          <w:sz w:val="28"/>
          <w:szCs w:val="28"/>
          <w14:textFill>
            <w14:solidFill>
              <w14:schemeClr w14:val="tx1"/>
            </w14:solidFill>
          </w14:textFill>
        </w:rPr>
      </w:pPr>
      <w:r>
        <w:rPr>
          <w:rFonts w:hint="eastAsia" w:ascii="Times New Roman" w:hAnsi="Times New Roman" w:eastAsia="仿宋" w:cs="Times New Roman"/>
          <w:color w:val="000000" w:themeColor="text1"/>
          <w:sz w:val="28"/>
          <w:szCs w:val="28"/>
          <w14:textFill>
            <w14:solidFill>
              <w14:schemeClr w14:val="tx1"/>
            </w14:solidFill>
          </w14:textFill>
        </w:rPr>
        <w:t>投标单位须列明各种可能发生的突发事件以及相应的处理办法，其中必须包括</w:t>
      </w:r>
      <w:r>
        <w:rPr>
          <w:rFonts w:ascii="Times New Roman" w:hAnsi="Times New Roman" w:eastAsia="仿宋" w:cs="Times New Roman"/>
          <w:color w:val="000000" w:themeColor="text1"/>
          <w:sz w:val="28"/>
          <w:szCs w:val="28"/>
          <w14:textFill>
            <w14:solidFill>
              <w14:schemeClr w14:val="tx1"/>
            </w14:solidFill>
          </w14:textFill>
        </w:rPr>
        <w:t>1</w:t>
      </w:r>
      <w:r>
        <w:rPr>
          <w:rFonts w:hint="eastAsia" w:ascii="Times New Roman" w:hAnsi="Times New Roman" w:eastAsia="仿宋" w:cs="Times New Roman"/>
          <w:color w:val="000000" w:themeColor="text1"/>
          <w:sz w:val="28"/>
          <w:szCs w:val="28"/>
          <w14:textFill>
            <w14:solidFill>
              <w14:schemeClr w14:val="tx1"/>
            </w14:solidFill>
          </w14:textFill>
        </w:rPr>
        <w:t>.</w:t>
      </w:r>
      <w:r>
        <w:rPr>
          <w:rFonts w:ascii="Times New Roman" w:hAnsi="Times New Roman" w:eastAsia="仿宋" w:cs="Times New Roman"/>
          <w:color w:val="000000" w:themeColor="text1"/>
          <w:sz w:val="28"/>
          <w:szCs w:val="28"/>
          <w14:textFill>
            <w14:solidFill>
              <w14:schemeClr w14:val="tx1"/>
            </w14:solidFill>
          </w14:textFill>
        </w:rPr>
        <w:t>承诺在市场价格骤涨情况下，</w:t>
      </w:r>
      <w:r>
        <w:rPr>
          <w:rFonts w:hint="eastAsia" w:ascii="Times New Roman" w:hAnsi="Times New Roman" w:eastAsia="仿宋" w:cs="Times New Roman"/>
          <w:color w:val="000000" w:themeColor="text1"/>
          <w:sz w:val="28"/>
          <w:szCs w:val="28"/>
          <w14:textFill>
            <w14:solidFill>
              <w14:schemeClr w14:val="tx1"/>
            </w14:solidFill>
          </w14:textFill>
        </w:rPr>
        <w:t>先按时供货再与采购人协商，在价格未调整情况下确保供应；</w:t>
      </w:r>
      <w:r>
        <w:rPr>
          <w:rFonts w:ascii="Times New Roman" w:hAnsi="Times New Roman" w:eastAsia="仿宋" w:cs="Times New Roman"/>
          <w:color w:val="000000" w:themeColor="text1"/>
          <w:sz w:val="28"/>
          <w:szCs w:val="28"/>
          <w14:textFill>
            <w14:solidFill>
              <w14:schemeClr w14:val="tx1"/>
            </w14:solidFill>
          </w14:textFill>
        </w:rPr>
        <w:t>2</w:t>
      </w:r>
      <w:r>
        <w:rPr>
          <w:rFonts w:hint="eastAsia" w:ascii="Times New Roman" w:hAnsi="Times New Roman" w:eastAsia="仿宋" w:cs="Times New Roman"/>
          <w:color w:val="000000" w:themeColor="text1"/>
          <w:sz w:val="28"/>
          <w:szCs w:val="28"/>
          <w14:textFill>
            <w14:solidFill>
              <w14:schemeClr w14:val="tx1"/>
            </w14:solidFill>
          </w14:textFill>
        </w:rPr>
        <w:t>.</w:t>
      </w:r>
      <w:r>
        <w:rPr>
          <w:rFonts w:ascii="Times New Roman" w:hAnsi="Times New Roman" w:eastAsia="仿宋" w:cs="Times New Roman"/>
          <w:color w:val="000000" w:themeColor="text1"/>
          <w:sz w:val="28"/>
          <w:szCs w:val="28"/>
          <w14:textFill>
            <w14:solidFill>
              <w14:schemeClr w14:val="tx1"/>
            </w14:solidFill>
          </w14:textFill>
        </w:rPr>
        <w:t>遭遇恶劣天气情况下（</w:t>
      </w:r>
      <w:r>
        <w:rPr>
          <w:rFonts w:hint="eastAsia" w:ascii="Times New Roman" w:hAnsi="Times New Roman" w:eastAsia="仿宋" w:cs="Times New Roman"/>
          <w:color w:val="000000" w:themeColor="text1"/>
          <w:sz w:val="28"/>
          <w:szCs w:val="28"/>
          <w14:textFill>
            <w14:solidFill>
              <w14:schemeClr w14:val="tx1"/>
            </w14:solidFill>
          </w14:textFill>
        </w:rPr>
        <w:t>台风、暴雨、冰灾、雪灾等</w:t>
      </w:r>
      <w:r>
        <w:rPr>
          <w:rFonts w:ascii="Times New Roman" w:hAnsi="Times New Roman" w:eastAsia="仿宋" w:cs="Times New Roman"/>
          <w:color w:val="000000" w:themeColor="text1"/>
          <w:sz w:val="28"/>
          <w:szCs w:val="28"/>
          <w14:textFill>
            <w14:solidFill>
              <w14:schemeClr w14:val="tx1"/>
            </w14:solidFill>
          </w14:textFill>
        </w:rPr>
        <w:t>）能保证及时供货，</w:t>
      </w:r>
      <w:r>
        <w:rPr>
          <w:rFonts w:hint="eastAsia" w:ascii="Times New Roman" w:hAnsi="Times New Roman" w:eastAsia="仿宋" w:cs="Times New Roman"/>
          <w:color w:val="000000" w:themeColor="text1"/>
          <w:sz w:val="28"/>
          <w:szCs w:val="28"/>
          <w14:textFill>
            <w14:solidFill>
              <w14:schemeClr w14:val="tx1"/>
            </w14:solidFill>
          </w14:textFill>
        </w:rPr>
        <w:t>在本地储备一定数量的应急食堂食材物资，并具备配送能力，保障食堂为校内师生正常提供服务（明确品种、数量、存地点、管理办法、启用方式等）</w:t>
      </w:r>
      <w:r>
        <w:rPr>
          <w:rFonts w:ascii="Times New Roman" w:hAnsi="Times New Roman" w:eastAsia="仿宋" w:cs="Times New Roman"/>
          <w:color w:val="000000" w:themeColor="text1"/>
          <w:sz w:val="28"/>
          <w:szCs w:val="28"/>
          <w14:textFill>
            <w14:solidFill>
              <w14:schemeClr w14:val="tx1"/>
            </w14:solidFill>
          </w14:textFill>
        </w:rPr>
        <w:t>；3</w:t>
      </w:r>
      <w:r>
        <w:rPr>
          <w:rFonts w:hint="eastAsia" w:ascii="Times New Roman" w:hAnsi="Times New Roman" w:eastAsia="仿宋" w:cs="Times New Roman"/>
          <w:color w:val="000000" w:themeColor="text1"/>
          <w:sz w:val="28"/>
          <w:szCs w:val="28"/>
          <w14:textFill>
            <w14:solidFill>
              <w14:schemeClr w14:val="tx1"/>
            </w14:solidFill>
          </w14:textFill>
        </w:rPr>
        <w:t>.</w:t>
      </w:r>
      <w:r>
        <w:rPr>
          <w:rFonts w:ascii="Times New Roman" w:hAnsi="Times New Roman" w:eastAsia="仿宋" w:cs="Times New Roman"/>
          <w:color w:val="000000" w:themeColor="text1"/>
          <w:sz w:val="28"/>
          <w:szCs w:val="28"/>
          <w14:textFill>
            <w14:solidFill>
              <w14:schemeClr w14:val="tx1"/>
            </w14:solidFill>
          </w14:textFill>
        </w:rPr>
        <w:t>遭</w:t>
      </w:r>
      <w:r>
        <w:rPr>
          <w:rFonts w:hint="eastAsia" w:ascii="Times New Roman" w:hAnsi="Times New Roman" w:eastAsia="仿宋" w:cs="Times New Roman"/>
          <w:color w:val="000000" w:themeColor="text1"/>
          <w:sz w:val="28"/>
          <w:szCs w:val="28"/>
          <w14:textFill>
            <w14:solidFill>
              <w14:schemeClr w14:val="tx1"/>
            </w14:solidFill>
          </w14:textFill>
        </w:rPr>
        <w:t>遇其他突发状况下的保供措施（如疫情等重大突发情况）；</w:t>
      </w:r>
      <w:r>
        <w:rPr>
          <w:rFonts w:ascii="Times New Roman" w:hAnsi="Times New Roman" w:eastAsia="仿宋" w:cs="Times New Roman"/>
          <w:color w:val="000000" w:themeColor="text1"/>
          <w:sz w:val="28"/>
          <w:szCs w:val="28"/>
          <w14:textFill>
            <w14:solidFill>
              <w14:schemeClr w14:val="tx1"/>
            </w14:solidFill>
          </w14:textFill>
        </w:rPr>
        <w:t>4</w:t>
      </w:r>
      <w:r>
        <w:rPr>
          <w:rFonts w:hint="eastAsia" w:ascii="Times New Roman" w:hAnsi="Times New Roman" w:eastAsia="仿宋" w:cs="Times New Roman"/>
          <w:color w:val="000000" w:themeColor="text1"/>
          <w:sz w:val="28"/>
          <w:szCs w:val="28"/>
          <w14:textFill>
            <w14:solidFill>
              <w14:schemeClr w14:val="tx1"/>
            </w14:solidFill>
          </w14:textFill>
        </w:rPr>
        <w:t>.</w:t>
      </w:r>
      <w:r>
        <w:rPr>
          <w:rFonts w:ascii="Times New Roman" w:hAnsi="Times New Roman" w:eastAsia="仿宋" w:cs="Times New Roman"/>
          <w:color w:val="000000" w:themeColor="text1"/>
          <w:sz w:val="28"/>
          <w:szCs w:val="28"/>
          <w14:textFill>
            <w14:solidFill>
              <w14:schemeClr w14:val="tx1"/>
            </w14:solidFill>
          </w14:textFill>
        </w:rPr>
        <w:t>日常退换货和临时性补货，2小时内</w:t>
      </w:r>
      <w:r>
        <w:rPr>
          <w:rFonts w:hint="eastAsia" w:ascii="Times New Roman" w:hAnsi="Times New Roman" w:eastAsia="仿宋" w:cs="Times New Roman"/>
          <w:color w:val="000000" w:themeColor="text1"/>
          <w:sz w:val="28"/>
          <w:szCs w:val="28"/>
          <w14:textFill>
            <w14:solidFill>
              <w14:schemeClr w14:val="tx1"/>
            </w14:solidFill>
          </w14:textFill>
        </w:rPr>
        <w:t>完成</w:t>
      </w:r>
      <w:r>
        <w:rPr>
          <w:rFonts w:ascii="Times New Roman" w:hAnsi="Times New Roman" w:eastAsia="仿宋" w:cs="Times New Roman"/>
          <w:color w:val="000000" w:themeColor="text1"/>
          <w:sz w:val="28"/>
          <w:szCs w:val="28"/>
          <w14:textFill>
            <w14:solidFill>
              <w14:schemeClr w14:val="tx1"/>
            </w14:solidFill>
          </w14:textFill>
        </w:rPr>
        <w:t>日常退换货和临时性补货</w:t>
      </w:r>
      <w:r>
        <w:rPr>
          <w:rFonts w:hint="eastAsia" w:ascii="Times New Roman" w:hAnsi="Times New Roman" w:eastAsia="仿宋" w:cs="Times New Roman"/>
          <w:color w:val="000000" w:themeColor="text1"/>
          <w:sz w:val="28"/>
          <w:szCs w:val="28"/>
          <w14:textFill>
            <w14:solidFill>
              <w14:schemeClr w14:val="tx1"/>
            </w14:solidFill>
          </w14:textFill>
        </w:rPr>
        <w:t>的</w:t>
      </w:r>
      <w:r>
        <w:rPr>
          <w:rFonts w:ascii="Times New Roman" w:hAnsi="Times New Roman" w:eastAsia="仿宋" w:cs="Times New Roman"/>
          <w:color w:val="000000" w:themeColor="text1"/>
          <w:sz w:val="28"/>
          <w:szCs w:val="28"/>
          <w14:textFill>
            <w14:solidFill>
              <w14:schemeClr w14:val="tx1"/>
            </w14:solidFill>
          </w14:textFill>
        </w:rPr>
        <w:t>承诺</w:t>
      </w:r>
      <w:r>
        <w:rPr>
          <w:rFonts w:hint="eastAsia" w:ascii="Times New Roman" w:hAnsi="Times New Roman" w:eastAsia="仿宋" w:cs="Times New Roman"/>
          <w:color w:val="000000" w:themeColor="text1"/>
          <w:sz w:val="28"/>
          <w:szCs w:val="28"/>
          <w14:textFill>
            <w14:solidFill>
              <w14:schemeClr w14:val="tx1"/>
            </w14:solidFill>
          </w14:textFill>
        </w:rPr>
        <w:t>。</w:t>
      </w:r>
    </w:p>
    <w:p w14:paraId="7077BA6D">
      <w:pPr>
        <w:snapToGrid w:val="0"/>
        <w:spacing w:line="500" w:lineRule="exact"/>
        <w:ind w:firstLine="554" w:firstLineChars="198"/>
        <w:rPr>
          <w:rFonts w:ascii="Times New Roman" w:hAnsi="Times New Roman" w:eastAsia="仿宋" w:cs="Times New Roman"/>
          <w:color w:val="000000"/>
          <w:sz w:val="28"/>
          <w:szCs w:val="28"/>
        </w:rPr>
      </w:pPr>
      <w:r>
        <w:rPr>
          <w:rFonts w:hint="eastAsia" w:ascii="Times New Roman" w:hAnsi="Times New Roman" w:eastAsia="仿宋" w:cs="Times New Roman"/>
          <w:color w:val="000000" w:themeColor="text1"/>
          <w:sz w:val="28"/>
          <w:szCs w:val="28"/>
          <w14:textFill>
            <w14:solidFill>
              <w14:schemeClr w14:val="tx1"/>
            </w14:solidFill>
          </w14:textFill>
        </w:rPr>
        <w:t>应急处理实施方案完善、细致，操作性强的得</w:t>
      </w:r>
      <w:r>
        <w:rPr>
          <w:rFonts w:ascii="Times New Roman" w:hAnsi="Times New Roman" w:eastAsia="仿宋" w:cs="Times New Roman"/>
          <w:color w:val="000000" w:themeColor="text1"/>
          <w:sz w:val="28"/>
          <w:szCs w:val="28"/>
          <w14:textFill>
            <w14:solidFill>
              <w14:schemeClr w14:val="tx1"/>
            </w14:solidFill>
          </w14:textFill>
        </w:rPr>
        <w:t>10</w:t>
      </w:r>
      <w:r>
        <w:rPr>
          <w:rFonts w:hint="eastAsia" w:ascii="Times New Roman" w:hAnsi="Times New Roman" w:eastAsia="仿宋" w:cs="Times New Roman"/>
          <w:color w:val="000000" w:themeColor="text1"/>
          <w:sz w:val="28"/>
          <w:szCs w:val="28"/>
          <w14:textFill>
            <w14:solidFill>
              <w14:schemeClr w14:val="tx1"/>
            </w14:solidFill>
          </w14:textFill>
        </w:rPr>
        <w:t>分；应急</w:t>
      </w:r>
      <w:r>
        <w:rPr>
          <w:rFonts w:hint="eastAsia" w:ascii="Times New Roman" w:hAnsi="Times New Roman" w:eastAsia="仿宋" w:cs="Times New Roman"/>
          <w:color w:val="000000"/>
          <w:sz w:val="28"/>
          <w:szCs w:val="28"/>
        </w:rPr>
        <w:t>处理实施方案较完善、细致，操作性较强的得</w:t>
      </w:r>
      <w:r>
        <w:rPr>
          <w:rFonts w:hint="eastAsia" w:ascii="Times New Roman" w:hAnsi="Times New Roman" w:eastAsia="仿宋" w:cs="Times New Roman"/>
          <w:color w:val="000000"/>
          <w:sz w:val="28"/>
          <w:szCs w:val="28"/>
          <w:lang w:val="en-US" w:eastAsia="zh-CN"/>
        </w:rPr>
        <w:t>8</w:t>
      </w:r>
      <w:r>
        <w:rPr>
          <w:rFonts w:hint="eastAsia" w:ascii="Times New Roman" w:hAnsi="Times New Roman" w:eastAsia="仿宋" w:cs="Times New Roman"/>
          <w:color w:val="000000"/>
          <w:sz w:val="28"/>
          <w:szCs w:val="28"/>
        </w:rPr>
        <w:t>分；应急处理实施方案简单，有一定操作性的得</w:t>
      </w:r>
      <w:r>
        <w:rPr>
          <w:rFonts w:hint="eastAsia" w:ascii="Times New Roman" w:hAnsi="Times New Roman" w:eastAsia="仿宋" w:cs="Times New Roman"/>
          <w:color w:val="000000"/>
          <w:sz w:val="28"/>
          <w:szCs w:val="28"/>
          <w:lang w:val="en-US" w:eastAsia="zh-CN"/>
        </w:rPr>
        <w:t>6</w:t>
      </w:r>
      <w:r>
        <w:rPr>
          <w:rFonts w:hint="eastAsia" w:ascii="Times New Roman" w:hAnsi="Times New Roman" w:eastAsia="仿宋" w:cs="Times New Roman"/>
          <w:color w:val="000000"/>
          <w:sz w:val="28"/>
          <w:szCs w:val="28"/>
        </w:rPr>
        <w:t>分；应急处理实施方案内容</w:t>
      </w:r>
      <w:r>
        <w:rPr>
          <w:rFonts w:hint="eastAsia" w:ascii="Times New Roman" w:hAnsi="Times New Roman" w:eastAsia="仿宋" w:cs="Times New Roman"/>
          <w:color w:val="000000"/>
          <w:sz w:val="28"/>
          <w:szCs w:val="28"/>
          <w:lang w:val="en-US" w:eastAsia="zh-CN"/>
        </w:rPr>
        <w:t>部分</w:t>
      </w:r>
      <w:r>
        <w:rPr>
          <w:rFonts w:hint="eastAsia" w:ascii="Times New Roman" w:hAnsi="Times New Roman" w:eastAsia="仿宋" w:cs="Times New Roman"/>
          <w:color w:val="000000"/>
          <w:sz w:val="28"/>
          <w:szCs w:val="28"/>
        </w:rPr>
        <w:t>欠缺，</w:t>
      </w:r>
      <w:r>
        <w:rPr>
          <w:rFonts w:hint="eastAsia" w:ascii="Times New Roman" w:hAnsi="Times New Roman" w:eastAsia="仿宋" w:cs="Times New Roman"/>
          <w:color w:val="000000"/>
          <w:sz w:val="28"/>
          <w:szCs w:val="28"/>
          <w:lang w:val="en-US" w:eastAsia="zh-CN"/>
        </w:rPr>
        <w:t>操作性较弱的得4分；</w:t>
      </w:r>
      <w:r>
        <w:rPr>
          <w:rFonts w:hint="eastAsia" w:ascii="Times New Roman" w:hAnsi="Times New Roman" w:eastAsia="仿宋" w:cs="Times New Roman"/>
          <w:color w:val="000000"/>
          <w:sz w:val="28"/>
          <w:szCs w:val="28"/>
        </w:rPr>
        <w:t>应急处理实施方案内容</w:t>
      </w:r>
      <w:r>
        <w:rPr>
          <w:rFonts w:hint="eastAsia" w:ascii="Times New Roman" w:hAnsi="Times New Roman" w:eastAsia="仿宋" w:cs="Times New Roman"/>
          <w:color w:val="000000"/>
          <w:sz w:val="28"/>
          <w:szCs w:val="28"/>
          <w:lang w:val="en-US" w:eastAsia="zh-CN"/>
        </w:rPr>
        <w:t>严重缺失</w:t>
      </w:r>
      <w:r>
        <w:rPr>
          <w:rFonts w:hint="eastAsia" w:ascii="Times New Roman" w:hAnsi="Times New Roman" w:eastAsia="仿宋" w:cs="Times New Roman"/>
          <w:color w:val="000000"/>
          <w:sz w:val="28"/>
          <w:szCs w:val="28"/>
        </w:rPr>
        <w:t>，操作性差的得</w:t>
      </w:r>
      <w:r>
        <w:rPr>
          <w:rFonts w:hint="eastAsia" w:ascii="Times New Roman" w:hAnsi="Times New Roman" w:eastAsia="仿宋" w:cs="Times New Roman"/>
          <w:color w:val="000000"/>
          <w:sz w:val="28"/>
          <w:szCs w:val="28"/>
          <w:lang w:val="en-US" w:eastAsia="zh-CN"/>
        </w:rPr>
        <w:t>2</w:t>
      </w:r>
      <w:r>
        <w:rPr>
          <w:rFonts w:hint="eastAsia" w:ascii="Times New Roman" w:hAnsi="Times New Roman" w:eastAsia="仿宋" w:cs="Times New Roman"/>
          <w:color w:val="000000"/>
          <w:sz w:val="28"/>
          <w:szCs w:val="28"/>
        </w:rPr>
        <w:t>分；未提供</w:t>
      </w:r>
      <w:r>
        <w:rPr>
          <w:rFonts w:ascii="Times New Roman" w:hAnsi="Times New Roman" w:eastAsia="仿宋" w:cs="Times New Roman"/>
          <w:color w:val="000000"/>
          <w:sz w:val="28"/>
          <w:szCs w:val="28"/>
        </w:rPr>
        <w:t>不得分。</w:t>
      </w:r>
    </w:p>
    <w:p w14:paraId="3C37CA94">
      <w:pPr>
        <w:snapToGrid w:val="0"/>
        <w:spacing w:line="500" w:lineRule="exact"/>
        <w:ind w:firstLine="554" w:firstLineChars="198"/>
        <w:rPr>
          <w:rFonts w:ascii="Times New Roman" w:hAnsi="Times New Roman" w:eastAsia="仿宋" w:cs="Times New Roman"/>
          <w:color w:val="000000" w:themeColor="text1"/>
          <w:sz w:val="28"/>
          <w:szCs w:val="28"/>
          <w14:textFill>
            <w14:solidFill>
              <w14:schemeClr w14:val="tx1"/>
            </w14:solidFill>
          </w14:textFill>
        </w:rPr>
      </w:pPr>
      <w:r>
        <w:rPr>
          <w:rFonts w:hint="eastAsia" w:ascii="Times New Roman" w:hAnsi="Times New Roman" w:eastAsia="仿宋" w:cs="Times New Roman"/>
          <w:color w:val="000000" w:themeColor="text1"/>
          <w:sz w:val="28"/>
          <w:szCs w:val="28"/>
          <w14:textFill>
            <w14:solidFill>
              <w14:schemeClr w14:val="tx1"/>
            </w14:solidFill>
          </w14:textFill>
        </w:rPr>
        <w:t>（九）个性化及增值服务（3分）</w:t>
      </w:r>
    </w:p>
    <w:p w14:paraId="436367A8">
      <w:pPr>
        <w:snapToGrid w:val="0"/>
        <w:spacing w:line="500" w:lineRule="exact"/>
        <w:ind w:firstLine="554" w:firstLineChars="198"/>
        <w:rPr>
          <w:rFonts w:ascii="Times New Roman" w:hAnsi="Times New Roman" w:eastAsia="仿宋" w:cs="Times New Roman"/>
          <w:color w:val="000000" w:themeColor="text1"/>
          <w:sz w:val="28"/>
          <w:szCs w:val="28"/>
          <w14:textFill>
            <w14:solidFill>
              <w14:schemeClr w14:val="tx1"/>
            </w14:solidFill>
          </w14:textFill>
        </w:rPr>
      </w:pPr>
      <w:r>
        <w:rPr>
          <w:rFonts w:hint="eastAsia" w:ascii="Times New Roman" w:hAnsi="Times New Roman" w:eastAsia="仿宋" w:cs="Times New Roman"/>
          <w:color w:val="000000" w:themeColor="text1"/>
          <w:sz w:val="28"/>
          <w:szCs w:val="28"/>
          <w14:textFill>
            <w14:solidFill>
              <w14:schemeClr w14:val="tx1"/>
            </w14:solidFill>
          </w14:textFill>
        </w:rPr>
        <w:t>提供专为学校定制的个性化和增值服务方案，需详细描述个性化和增值服务的特色内容、实施方式、服务承诺和优惠措施等。个性化和增值服务方案的可行性、可操作性强得3</w:t>
      </w:r>
      <w:r>
        <w:rPr>
          <w:rFonts w:ascii="Times New Roman" w:hAnsi="Times New Roman" w:eastAsia="仿宋" w:cs="Times New Roman"/>
          <w:color w:val="000000" w:themeColor="text1"/>
          <w:sz w:val="28"/>
          <w:szCs w:val="28"/>
          <w14:textFill>
            <w14:solidFill>
              <w14:schemeClr w14:val="tx1"/>
            </w14:solidFill>
          </w14:textFill>
        </w:rPr>
        <w:t>分</w:t>
      </w:r>
      <w:r>
        <w:rPr>
          <w:rFonts w:hint="eastAsia" w:ascii="Times New Roman" w:hAnsi="Times New Roman" w:eastAsia="仿宋" w:cs="Times New Roman"/>
          <w:color w:val="000000" w:themeColor="text1"/>
          <w:sz w:val="28"/>
          <w:szCs w:val="28"/>
          <w14:textFill>
            <w14:solidFill>
              <w14:schemeClr w14:val="tx1"/>
            </w14:solidFill>
          </w14:textFill>
        </w:rPr>
        <w:t>；</w:t>
      </w:r>
      <w:r>
        <w:rPr>
          <w:rFonts w:ascii="Times New Roman" w:hAnsi="Times New Roman" w:eastAsia="仿宋" w:cs="Times New Roman"/>
          <w:color w:val="000000" w:themeColor="text1"/>
          <w:sz w:val="28"/>
          <w:szCs w:val="28"/>
          <w14:textFill>
            <w14:solidFill>
              <w14:schemeClr w14:val="tx1"/>
            </w14:solidFill>
          </w14:textFill>
        </w:rPr>
        <w:t>个性化和增值</w:t>
      </w:r>
      <w:r>
        <w:rPr>
          <w:rFonts w:hint="eastAsia" w:ascii="Times New Roman" w:hAnsi="Times New Roman" w:eastAsia="仿宋" w:cs="Times New Roman"/>
          <w:color w:val="000000" w:themeColor="text1"/>
          <w:sz w:val="28"/>
          <w:szCs w:val="28"/>
          <w14:textFill>
            <w14:solidFill>
              <w14:schemeClr w14:val="tx1"/>
            </w14:solidFill>
          </w14:textFill>
        </w:rPr>
        <w:t>服务方案的可行性、可操作性较强得2</w:t>
      </w:r>
      <w:r>
        <w:rPr>
          <w:rFonts w:ascii="Times New Roman" w:hAnsi="Times New Roman" w:eastAsia="仿宋" w:cs="Times New Roman"/>
          <w:color w:val="000000" w:themeColor="text1"/>
          <w:sz w:val="28"/>
          <w:szCs w:val="28"/>
          <w14:textFill>
            <w14:solidFill>
              <w14:schemeClr w14:val="tx1"/>
            </w14:solidFill>
          </w14:textFill>
        </w:rPr>
        <w:t>分</w:t>
      </w:r>
      <w:r>
        <w:rPr>
          <w:rFonts w:hint="eastAsia" w:ascii="Times New Roman" w:hAnsi="Times New Roman" w:eastAsia="仿宋" w:cs="Times New Roman"/>
          <w:color w:val="000000" w:themeColor="text1"/>
          <w:sz w:val="28"/>
          <w:szCs w:val="28"/>
          <w14:textFill>
            <w14:solidFill>
              <w14:schemeClr w14:val="tx1"/>
            </w14:solidFill>
          </w14:textFill>
        </w:rPr>
        <w:t>；</w:t>
      </w:r>
      <w:r>
        <w:rPr>
          <w:rFonts w:ascii="Times New Roman" w:hAnsi="Times New Roman" w:eastAsia="仿宋" w:cs="Times New Roman"/>
          <w:color w:val="000000" w:themeColor="text1"/>
          <w:sz w:val="28"/>
          <w:szCs w:val="28"/>
          <w14:textFill>
            <w14:solidFill>
              <w14:schemeClr w14:val="tx1"/>
            </w14:solidFill>
          </w14:textFill>
        </w:rPr>
        <w:t>个性化</w:t>
      </w:r>
      <w:r>
        <w:rPr>
          <w:rFonts w:hint="eastAsia" w:ascii="Times New Roman" w:hAnsi="Times New Roman" w:eastAsia="仿宋" w:cs="Times New Roman"/>
          <w:color w:val="000000" w:themeColor="text1"/>
          <w:sz w:val="28"/>
          <w:szCs w:val="28"/>
          <w14:textFill>
            <w14:solidFill>
              <w14:schemeClr w14:val="tx1"/>
            </w14:solidFill>
          </w14:textFill>
        </w:rPr>
        <w:t>和增值服务方案的可行性、可操作性一般得1</w:t>
      </w:r>
      <w:r>
        <w:rPr>
          <w:rFonts w:ascii="Times New Roman" w:hAnsi="Times New Roman" w:eastAsia="仿宋" w:cs="Times New Roman"/>
          <w:color w:val="000000" w:themeColor="text1"/>
          <w:sz w:val="28"/>
          <w:szCs w:val="28"/>
          <w14:textFill>
            <w14:solidFill>
              <w14:schemeClr w14:val="tx1"/>
            </w14:solidFill>
          </w14:textFill>
        </w:rPr>
        <w:t>分</w:t>
      </w:r>
      <w:r>
        <w:rPr>
          <w:rFonts w:hint="eastAsia" w:ascii="Times New Roman" w:hAnsi="Times New Roman" w:eastAsia="仿宋" w:cs="Times New Roman"/>
          <w:color w:val="000000" w:themeColor="text1"/>
          <w:sz w:val="28"/>
          <w:szCs w:val="28"/>
          <w14:textFill>
            <w14:solidFill>
              <w14:schemeClr w14:val="tx1"/>
            </w14:solidFill>
          </w14:textFill>
        </w:rPr>
        <w:t>。不提供不得分。</w:t>
      </w:r>
    </w:p>
    <w:bookmarkEnd w:id="10"/>
    <w:p w14:paraId="033032D6">
      <w:pPr>
        <w:spacing w:line="500" w:lineRule="exact"/>
        <w:ind w:firstLine="560" w:firstLineChars="200"/>
        <w:rPr>
          <w:rFonts w:ascii="仿宋" w:hAnsi="仿宋" w:eastAsia="仿宋" w:cs="仿宋"/>
          <w:color w:val="000000" w:themeColor="text1"/>
          <w:sz w:val="28"/>
          <w:szCs w:val="28"/>
          <w14:textFill>
            <w14:solidFill>
              <w14:schemeClr w14:val="tx1"/>
            </w14:solidFill>
          </w14:textFill>
        </w:rPr>
      </w:pPr>
    </w:p>
    <w:p w14:paraId="47D257E6">
      <w:pPr>
        <w:spacing w:line="500" w:lineRule="exact"/>
        <w:ind w:firstLine="560" w:firstLineChars="200"/>
        <w:rPr>
          <w:rFonts w:ascii="仿宋" w:hAnsi="仿宋" w:eastAsia="仿宋" w:cs="仿宋"/>
          <w:color w:val="000000" w:themeColor="text1"/>
          <w:sz w:val="28"/>
          <w:szCs w:val="28"/>
          <w14:textFill>
            <w14:solidFill>
              <w14:schemeClr w14:val="tx1"/>
            </w14:solidFill>
          </w14:textFill>
        </w:rPr>
      </w:pPr>
    </w:p>
    <w:p w14:paraId="378FA776">
      <w:pPr>
        <w:spacing w:line="500" w:lineRule="exact"/>
        <w:ind w:firstLine="560" w:firstLineChars="200"/>
        <w:rPr>
          <w:rFonts w:ascii="仿宋" w:hAnsi="仿宋" w:eastAsia="仿宋" w:cs="仿宋"/>
          <w:color w:val="000000" w:themeColor="text1"/>
          <w:sz w:val="28"/>
          <w:szCs w:val="28"/>
          <w14:textFill>
            <w14:solidFill>
              <w14:schemeClr w14:val="tx1"/>
            </w14:solidFill>
          </w14:textFill>
        </w:rPr>
      </w:pPr>
    </w:p>
    <w:p w14:paraId="448FF7E9">
      <w:pPr>
        <w:spacing w:line="500" w:lineRule="exact"/>
        <w:ind w:firstLine="560" w:firstLineChars="200"/>
        <w:rPr>
          <w:rFonts w:ascii="仿宋" w:hAnsi="仿宋" w:eastAsia="仿宋" w:cs="仿宋"/>
          <w:color w:val="FF0000"/>
          <w:sz w:val="28"/>
          <w:szCs w:val="28"/>
        </w:rPr>
      </w:pPr>
    </w:p>
    <w:p w14:paraId="776BE6F1">
      <w:pPr>
        <w:spacing w:line="500" w:lineRule="exact"/>
        <w:ind w:firstLine="560" w:firstLineChars="200"/>
        <w:rPr>
          <w:rFonts w:ascii="仿宋" w:hAnsi="仿宋" w:eastAsia="仿宋" w:cs="仿宋"/>
          <w:color w:val="FF0000"/>
          <w:sz w:val="28"/>
          <w:szCs w:val="28"/>
        </w:rPr>
      </w:pPr>
    </w:p>
    <w:p w14:paraId="4E5BCB45">
      <w:pPr>
        <w:spacing w:line="500" w:lineRule="exact"/>
        <w:ind w:firstLine="560" w:firstLineChars="200"/>
        <w:rPr>
          <w:rFonts w:ascii="仿宋" w:hAnsi="仿宋" w:eastAsia="仿宋" w:cs="仿宋"/>
          <w:color w:val="FF0000"/>
          <w:sz w:val="28"/>
          <w:szCs w:val="28"/>
        </w:rPr>
      </w:pPr>
    </w:p>
    <w:p w14:paraId="26E66F4D">
      <w:pPr>
        <w:spacing w:line="500" w:lineRule="exact"/>
        <w:ind w:firstLine="560" w:firstLineChars="200"/>
        <w:rPr>
          <w:rFonts w:ascii="仿宋" w:hAnsi="仿宋" w:eastAsia="仿宋" w:cs="仿宋"/>
          <w:color w:val="FF0000"/>
          <w:sz w:val="28"/>
          <w:szCs w:val="28"/>
        </w:rPr>
      </w:pPr>
    </w:p>
    <w:p w14:paraId="0D4F5E9A">
      <w:pPr>
        <w:spacing w:line="500" w:lineRule="exact"/>
        <w:ind w:firstLine="560" w:firstLineChars="200"/>
        <w:rPr>
          <w:rFonts w:ascii="仿宋" w:hAnsi="仿宋" w:eastAsia="仿宋" w:cs="仿宋"/>
          <w:color w:val="FF0000"/>
          <w:sz w:val="28"/>
          <w:szCs w:val="28"/>
        </w:rPr>
      </w:pPr>
    </w:p>
    <w:p w14:paraId="731B2863">
      <w:pPr>
        <w:spacing w:line="500" w:lineRule="exact"/>
        <w:ind w:firstLine="560" w:firstLineChars="200"/>
        <w:rPr>
          <w:rFonts w:ascii="仿宋" w:hAnsi="仿宋" w:eastAsia="仿宋" w:cs="仿宋"/>
          <w:color w:val="FF0000"/>
          <w:sz w:val="28"/>
          <w:szCs w:val="28"/>
        </w:rPr>
      </w:pPr>
    </w:p>
    <w:p w14:paraId="5AEB2813">
      <w:pPr>
        <w:spacing w:line="500" w:lineRule="exact"/>
        <w:ind w:firstLine="560" w:firstLineChars="200"/>
        <w:rPr>
          <w:rFonts w:ascii="仿宋" w:hAnsi="仿宋" w:eastAsia="仿宋" w:cs="仿宋"/>
          <w:color w:val="FF0000"/>
          <w:sz w:val="28"/>
          <w:szCs w:val="28"/>
        </w:rPr>
      </w:pPr>
    </w:p>
    <w:p w14:paraId="1C03163B">
      <w:pPr>
        <w:spacing w:line="500" w:lineRule="exact"/>
        <w:ind w:firstLine="560" w:firstLineChars="200"/>
        <w:rPr>
          <w:rFonts w:ascii="仿宋" w:hAnsi="仿宋" w:eastAsia="仿宋" w:cs="仿宋"/>
          <w:color w:val="FF0000"/>
          <w:sz w:val="28"/>
          <w:szCs w:val="28"/>
        </w:rPr>
      </w:pPr>
    </w:p>
    <w:p w14:paraId="57B57B73">
      <w:pPr>
        <w:spacing w:line="500" w:lineRule="exact"/>
        <w:ind w:firstLine="560" w:firstLineChars="200"/>
        <w:rPr>
          <w:rFonts w:ascii="仿宋" w:hAnsi="仿宋" w:eastAsia="仿宋" w:cs="仿宋"/>
          <w:color w:val="FF0000"/>
          <w:sz w:val="28"/>
          <w:szCs w:val="28"/>
        </w:rPr>
      </w:pPr>
    </w:p>
    <w:p w14:paraId="0ABBF03B">
      <w:pPr>
        <w:spacing w:line="500" w:lineRule="exact"/>
        <w:ind w:firstLine="560" w:firstLineChars="200"/>
        <w:rPr>
          <w:rFonts w:ascii="仿宋" w:hAnsi="仿宋" w:eastAsia="仿宋" w:cs="仿宋"/>
          <w:color w:val="FF0000"/>
          <w:sz w:val="28"/>
          <w:szCs w:val="28"/>
        </w:rPr>
      </w:pPr>
    </w:p>
    <w:p w14:paraId="60166725">
      <w:pPr>
        <w:spacing w:line="500" w:lineRule="exact"/>
        <w:ind w:firstLine="560" w:firstLineChars="200"/>
        <w:rPr>
          <w:rFonts w:ascii="仿宋" w:hAnsi="仿宋" w:eastAsia="仿宋" w:cs="仿宋"/>
          <w:color w:val="FF0000"/>
          <w:sz w:val="28"/>
          <w:szCs w:val="28"/>
        </w:rPr>
      </w:pPr>
    </w:p>
    <w:p w14:paraId="03ECC339">
      <w:pPr>
        <w:spacing w:line="500" w:lineRule="exact"/>
        <w:ind w:firstLine="560" w:firstLineChars="200"/>
        <w:rPr>
          <w:rFonts w:ascii="仿宋" w:hAnsi="仿宋" w:eastAsia="仿宋" w:cs="仿宋"/>
          <w:color w:val="FF0000"/>
          <w:sz w:val="28"/>
          <w:szCs w:val="28"/>
        </w:rPr>
      </w:pPr>
    </w:p>
    <w:p w14:paraId="7856ECAC">
      <w:pPr>
        <w:spacing w:line="500" w:lineRule="exact"/>
        <w:ind w:firstLine="560" w:firstLineChars="200"/>
        <w:rPr>
          <w:rFonts w:ascii="仿宋" w:hAnsi="仿宋" w:eastAsia="仿宋" w:cs="仿宋"/>
          <w:color w:val="FF0000"/>
          <w:sz w:val="28"/>
          <w:szCs w:val="28"/>
        </w:rPr>
      </w:pPr>
    </w:p>
    <w:p w14:paraId="7502B85B">
      <w:pPr>
        <w:spacing w:line="500" w:lineRule="exact"/>
        <w:ind w:firstLine="560" w:firstLineChars="200"/>
        <w:rPr>
          <w:rFonts w:ascii="仿宋" w:hAnsi="仿宋" w:eastAsia="仿宋" w:cs="仿宋"/>
          <w:color w:val="FF0000"/>
          <w:sz w:val="28"/>
          <w:szCs w:val="28"/>
        </w:rPr>
      </w:pPr>
    </w:p>
    <w:p w14:paraId="0F32FF0F">
      <w:pPr>
        <w:spacing w:line="500" w:lineRule="exact"/>
        <w:ind w:firstLine="560" w:firstLineChars="200"/>
        <w:rPr>
          <w:rFonts w:ascii="仿宋" w:hAnsi="仿宋" w:eastAsia="仿宋" w:cs="仿宋"/>
          <w:color w:val="FF0000"/>
          <w:sz w:val="28"/>
          <w:szCs w:val="28"/>
        </w:rPr>
      </w:pPr>
    </w:p>
    <w:p w14:paraId="109F6839">
      <w:pPr>
        <w:spacing w:line="500" w:lineRule="exact"/>
        <w:ind w:firstLine="560" w:firstLineChars="200"/>
        <w:rPr>
          <w:rFonts w:ascii="仿宋" w:hAnsi="仿宋" w:eastAsia="仿宋" w:cs="仿宋"/>
          <w:color w:val="FF0000"/>
          <w:sz w:val="28"/>
          <w:szCs w:val="28"/>
        </w:rPr>
      </w:pPr>
    </w:p>
    <w:p w14:paraId="436636C4">
      <w:pPr>
        <w:spacing w:line="500" w:lineRule="exact"/>
        <w:ind w:firstLine="560" w:firstLineChars="200"/>
        <w:rPr>
          <w:rFonts w:ascii="仿宋" w:hAnsi="仿宋" w:eastAsia="仿宋" w:cs="仿宋"/>
          <w:color w:val="FF0000"/>
          <w:sz w:val="28"/>
          <w:szCs w:val="28"/>
        </w:rPr>
      </w:pPr>
    </w:p>
    <w:p w14:paraId="23C4A632">
      <w:pPr>
        <w:spacing w:line="500" w:lineRule="exact"/>
        <w:ind w:firstLine="560" w:firstLineChars="200"/>
        <w:rPr>
          <w:rFonts w:ascii="仿宋" w:hAnsi="仿宋" w:eastAsia="仿宋" w:cs="仿宋"/>
          <w:color w:val="FF0000"/>
          <w:sz w:val="28"/>
          <w:szCs w:val="28"/>
        </w:rPr>
      </w:pPr>
    </w:p>
    <w:p w14:paraId="644379A7">
      <w:pPr>
        <w:snapToGrid w:val="0"/>
        <w:spacing w:line="580" w:lineRule="exact"/>
        <w:ind w:firstLine="594" w:firstLineChars="198"/>
        <w:jc w:val="center"/>
        <w:rPr>
          <w:rFonts w:ascii="方正小标宋_GBK" w:hAnsi="宋体" w:eastAsia="方正小标宋_GBK" w:cs="Times New Roman"/>
          <w:snapToGrid w:val="0"/>
          <w:kern w:val="0"/>
          <w:sz w:val="30"/>
          <w:szCs w:val="30"/>
        </w:rPr>
      </w:pPr>
      <w:r>
        <w:rPr>
          <w:rFonts w:hint="eastAsia" w:ascii="方正小标宋_GBK" w:hAnsi="等线" w:eastAsia="方正小标宋_GBK" w:cs="Times New Roman"/>
          <w:sz w:val="30"/>
          <w:szCs w:val="30"/>
        </w:rPr>
        <w:t>202</w:t>
      </w:r>
      <w:r>
        <w:rPr>
          <w:rFonts w:ascii="方正小标宋_GBK" w:hAnsi="等线" w:eastAsia="方正小标宋_GBK" w:cs="Times New Roman"/>
          <w:sz w:val="30"/>
          <w:szCs w:val="30"/>
        </w:rPr>
        <w:t>6</w:t>
      </w:r>
      <w:r>
        <w:rPr>
          <w:rFonts w:hint="eastAsia" w:ascii="方正小标宋_GBK" w:hAnsi="等线" w:eastAsia="方正小标宋_GBK" w:cs="Times New Roman"/>
          <w:sz w:val="30"/>
          <w:szCs w:val="30"/>
        </w:rPr>
        <w:t>-202</w:t>
      </w:r>
      <w:r>
        <w:rPr>
          <w:rFonts w:ascii="方正小标宋_GBK" w:hAnsi="等线" w:eastAsia="方正小标宋_GBK" w:cs="Times New Roman"/>
          <w:sz w:val="30"/>
          <w:szCs w:val="30"/>
        </w:rPr>
        <w:t>7</w:t>
      </w:r>
      <w:r>
        <w:rPr>
          <w:rFonts w:hint="eastAsia" w:ascii="方正小标宋_GBK" w:hAnsi="等线" w:eastAsia="方正小标宋_GBK" w:cs="Times New Roman"/>
          <w:sz w:val="30"/>
          <w:szCs w:val="30"/>
        </w:rPr>
        <w:t>年度苏州大学食堂伙食物资供应商评分标准</w:t>
      </w:r>
    </w:p>
    <w:p w14:paraId="0B9EE061">
      <w:pPr>
        <w:snapToGrid w:val="0"/>
        <w:spacing w:line="580" w:lineRule="exact"/>
        <w:ind w:firstLine="602" w:firstLineChars="200"/>
        <w:jc w:val="center"/>
        <w:rPr>
          <w:rFonts w:ascii="仿宋" w:hAnsi="仿宋" w:eastAsia="仿宋" w:cs="Times New Roman"/>
          <w:b/>
          <w:color w:val="000000"/>
          <w:kern w:val="0"/>
          <w:sz w:val="30"/>
          <w:szCs w:val="30"/>
        </w:rPr>
      </w:pPr>
      <w:r>
        <w:rPr>
          <w:rFonts w:hint="eastAsia" w:ascii="仿宋" w:hAnsi="仿宋" w:eastAsia="仿宋" w:cs="Times New Roman"/>
          <w:b/>
          <w:color w:val="000000"/>
          <w:kern w:val="0"/>
          <w:sz w:val="30"/>
          <w:szCs w:val="30"/>
        </w:rPr>
        <w:t>（适用于标段9：一次性用品）</w:t>
      </w:r>
    </w:p>
    <w:p w14:paraId="69129226">
      <w:pPr>
        <w:snapToGrid w:val="0"/>
        <w:spacing w:line="580" w:lineRule="exact"/>
        <w:ind w:firstLine="560" w:firstLineChars="200"/>
        <w:rPr>
          <w:rFonts w:ascii="Times New Roman" w:hAnsi="Times New Roman" w:eastAsia="仿宋" w:cs="Times New Roman"/>
          <w:bCs/>
          <w:color w:val="000000"/>
          <w:kern w:val="0"/>
          <w:sz w:val="28"/>
          <w:szCs w:val="28"/>
        </w:rPr>
      </w:pPr>
      <w:r>
        <w:rPr>
          <w:rFonts w:ascii="Times New Roman" w:hAnsi="Times New Roman" w:eastAsia="仿宋" w:cs="Times New Roman"/>
          <w:bCs/>
          <w:color w:val="000000"/>
          <w:kern w:val="0"/>
          <w:sz w:val="28"/>
          <w:szCs w:val="28"/>
        </w:rPr>
        <w:t>本次招标采用综合评分法，总分为100分，具体内容如下：</w:t>
      </w:r>
    </w:p>
    <w:p w14:paraId="087D9C64">
      <w:pPr>
        <w:snapToGrid w:val="0"/>
        <w:spacing w:line="500" w:lineRule="exact"/>
        <w:ind w:firstLine="562" w:firstLineChars="200"/>
        <w:rPr>
          <w:rFonts w:ascii="Times New Roman" w:hAnsi="Times New Roman" w:eastAsia="仿宋" w:cs="Times New Roman"/>
          <w:b/>
          <w:bCs/>
          <w:color w:val="000000"/>
          <w:kern w:val="0"/>
          <w:sz w:val="28"/>
          <w:szCs w:val="28"/>
        </w:rPr>
      </w:pPr>
      <w:r>
        <w:rPr>
          <w:rFonts w:ascii="Times New Roman" w:hAnsi="Times New Roman" w:eastAsia="仿宋" w:cs="Times New Roman"/>
          <w:b/>
          <w:bCs/>
          <w:color w:val="000000"/>
          <w:kern w:val="0"/>
          <w:sz w:val="28"/>
          <w:szCs w:val="28"/>
        </w:rPr>
        <w:t>（一）价格分（35分）</w:t>
      </w:r>
    </w:p>
    <w:p w14:paraId="55E560F9">
      <w:pPr>
        <w:snapToGrid w:val="0"/>
        <w:spacing w:line="500" w:lineRule="exact"/>
        <w:ind w:firstLine="560" w:firstLineChars="200"/>
        <w:rPr>
          <w:rFonts w:ascii="Times New Roman" w:hAnsi="Times New Roman" w:eastAsia="仿宋" w:cs="Times New Roman"/>
          <w:bCs/>
          <w:color w:val="000000"/>
          <w:kern w:val="0"/>
          <w:sz w:val="28"/>
          <w:szCs w:val="28"/>
        </w:rPr>
      </w:pPr>
      <w:r>
        <w:rPr>
          <w:rFonts w:ascii="Times New Roman" w:hAnsi="Times New Roman" w:eastAsia="仿宋" w:cs="Times New Roman"/>
          <w:bCs/>
          <w:color w:val="000000"/>
          <w:kern w:val="0"/>
          <w:sz w:val="28"/>
          <w:szCs w:val="28"/>
        </w:rPr>
        <w:t>1.价格分采用低价优先法计算，即在所有投标单位标的物清单各项明细报价中</w:t>
      </w:r>
      <w:r>
        <w:rPr>
          <w:rFonts w:ascii="Times New Roman" w:hAnsi="Times New Roman" w:eastAsia="仿宋" w:cs="Times New Roman"/>
          <w:b/>
          <w:color w:val="000000"/>
          <w:kern w:val="0"/>
          <w:sz w:val="28"/>
          <w:szCs w:val="28"/>
        </w:rPr>
        <w:t>选择最低的报价</w:t>
      </w:r>
      <w:r>
        <w:rPr>
          <w:rFonts w:ascii="Times New Roman" w:hAnsi="Times New Roman" w:eastAsia="仿宋" w:cs="Times New Roman"/>
          <w:bCs/>
          <w:color w:val="000000"/>
          <w:kern w:val="0"/>
          <w:sz w:val="28"/>
          <w:szCs w:val="28"/>
        </w:rPr>
        <w:t>确定为该项明细报价的基准报价。</w:t>
      </w:r>
    </w:p>
    <w:p w14:paraId="5BC61695">
      <w:pPr>
        <w:snapToGrid w:val="0"/>
        <w:spacing w:line="500" w:lineRule="exact"/>
        <w:ind w:firstLine="560" w:firstLineChars="200"/>
        <w:rPr>
          <w:rFonts w:ascii="Times New Roman" w:hAnsi="Times New Roman" w:eastAsia="仿宋" w:cs="Times New Roman"/>
          <w:bCs/>
          <w:color w:val="000000"/>
          <w:kern w:val="0"/>
          <w:sz w:val="28"/>
          <w:szCs w:val="28"/>
        </w:rPr>
      </w:pPr>
      <w:r>
        <w:rPr>
          <w:rFonts w:ascii="Times New Roman" w:hAnsi="Times New Roman" w:eastAsia="仿宋" w:cs="Times New Roman"/>
          <w:bCs/>
          <w:color w:val="000000"/>
          <w:kern w:val="0"/>
          <w:sz w:val="28"/>
          <w:szCs w:val="28"/>
        </w:rPr>
        <w:t>2.将该项明细项所有合格投标人报价与该明细项的基准报价相比较：等于基准报价的该项明细得满分，其他投标人的该项明细价格分按照下列公式计算（计算结果四舍五入保留两位小数）：</w:t>
      </w:r>
      <w:r>
        <w:rPr>
          <w:rFonts w:ascii="Times New Roman" w:hAnsi="Times New Roman" w:eastAsia="仿宋" w:cs="Times New Roman"/>
          <w:b/>
          <w:bCs/>
          <w:color w:val="000000"/>
          <w:kern w:val="0"/>
          <w:sz w:val="28"/>
          <w:szCs w:val="28"/>
        </w:rPr>
        <w:t>明细项投标报价得分=(明细项基准报价/明细项投标报价)*35%*100</w:t>
      </w:r>
    </w:p>
    <w:p w14:paraId="595D4212">
      <w:pPr>
        <w:snapToGrid w:val="0"/>
        <w:spacing w:line="500" w:lineRule="exact"/>
        <w:ind w:firstLine="560" w:firstLineChars="200"/>
        <w:rPr>
          <w:rFonts w:ascii="Times New Roman" w:hAnsi="Times New Roman" w:eastAsia="仿宋" w:cs="Times New Roman"/>
          <w:bCs/>
          <w:color w:val="000000"/>
          <w:kern w:val="0"/>
          <w:sz w:val="28"/>
          <w:szCs w:val="28"/>
        </w:rPr>
      </w:pPr>
      <w:r>
        <w:rPr>
          <w:rFonts w:ascii="Times New Roman" w:hAnsi="Times New Roman" w:eastAsia="仿宋" w:cs="Times New Roman"/>
          <w:bCs/>
          <w:color w:val="000000"/>
          <w:kern w:val="0"/>
          <w:sz w:val="28"/>
          <w:szCs w:val="28"/>
        </w:rPr>
        <w:t>3.各投标人投标报价得分＝各明细项投标报价得分汇总/明细项目总个数</w:t>
      </w:r>
    </w:p>
    <w:p w14:paraId="69BC949D">
      <w:pPr>
        <w:snapToGrid w:val="0"/>
        <w:spacing w:line="500" w:lineRule="exact"/>
        <w:ind w:firstLine="562" w:firstLineChars="200"/>
        <w:rPr>
          <w:rFonts w:ascii="仿宋" w:hAnsi="仿宋" w:eastAsia="仿宋" w:cs="仿宋"/>
          <w:b/>
          <w:bCs/>
          <w:color w:val="FF0000"/>
          <w:kern w:val="0"/>
          <w:sz w:val="28"/>
          <w:szCs w:val="28"/>
        </w:rPr>
      </w:pPr>
      <w:r>
        <w:rPr>
          <w:rFonts w:hint="eastAsia" w:ascii="仿宋" w:hAnsi="仿宋" w:eastAsia="仿宋" w:cs="仿宋"/>
          <w:b/>
          <w:bCs/>
          <w:color w:val="FF0000"/>
          <w:kern w:val="0"/>
          <w:sz w:val="28"/>
          <w:szCs w:val="28"/>
        </w:rPr>
        <w:t>（1）开标后五分钟内，须将投标报价表（Excel格式），通过电子邮件发送至xnchen@suda.edu.cn。</w:t>
      </w:r>
    </w:p>
    <w:p w14:paraId="029E3058">
      <w:pPr>
        <w:spacing w:line="500" w:lineRule="exact"/>
        <w:ind w:firstLine="562" w:firstLineChars="200"/>
        <w:rPr>
          <w:rFonts w:ascii="仿宋" w:hAnsi="仿宋" w:eastAsia="仿宋" w:cs="仿宋"/>
          <w:b/>
          <w:bCs/>
          <w:color w:val="FF0000"/>
          <w:kern w:val="0"/>
          <w:sz w:val="28"/>
          <w:szCs w:val="28"/>
        </w:rPr>
      </w:pPr>
      <w:r>
        <w:rPr>
          <w:rFonts w:hint="eastAsia" w:ascii="仿宋" w:hAnsi="仿宋" w:eastAsia="仿宋" w:cs="仿宋"/>
          <w:b/>
          <w:bCs/>
          <w:color w:val="FF0000"/>
          <w:kern w:val="0"/>
          <w:sz w:val="28"/>
          <w:szCs w:val="28"/>
        </w:rPr>
        <w:t>（2）投标报价表不得作任何变更，出现以下情形之一的，均按无效投标处理：</w:t>
      </w:r>
    </w:p>
    <w:p w14:paraId="09B14343">
      <w:pPr>
        <w:spacing w:line="500" w:lineRule="exact"/>
        <w:ind w:firstLine="562" w:firstLineChars="200"/>
        <w:rPr>
          <w:rFonts w:ascii="仿宋" w:hAnsi="仿宋" w:eastAsia="仿宋" w:cs="仿宋"/>
          <w:b/>
          <w:bCs/>
          <w:color w:val="FF0000"/>
          <w:kern w:val="0"/>
          <w:sz w:val="28"/>
          <w:szCs w:val="28"/>
        </w:rPr>
      </w:pPr>
      <w:r>
        <w:rPr>
          <w:rFonts w:hint="eastAsia" w:ascii="仿宋" w:hAnsi="仿宋" w:eastAsia="仿宋" w:cs="仿宋"/>
          <w:b/>
          <w:bCs/>
          <w:color w:val="FF0000"/>
          <w:kern w:val="0"/>
          <w:sz w:val="28"/>
          <w:szCs w:val="28"/>
        </w:rPr>
        <w:t>①调整明细内容及顺序；</w:t>
      </w:r>
    </w:p>
    <w:p w14:paraId="706E2A05">
      <w:pPr>
        <w:spacing w:line="500" w:lineRule="exact"/>
        <w:ind w:firstLine="562" w:firstLineChars="200"/>
        <w:rPr>
          <w:rFonts w:ascii="仿宋" w:hAnsi="仿宋" w:eastAsia="仿宋" w:cs="仿宋"/>
          <w:b/>
          <w:bCs/>
          <w:color w:val="FF0000"/>
          <w:kern w:val="0"/>
          <w:sz w:val="28"/>
          <w:szCs w:val="28"/>
        </w:rPr>
      </w:pPr>
      <w:r>
        <w:rPr>
          <w:rFonts w:hint="eastAsia" w:ascii="仿宋" w:hAnsi="仿宋" w:eastAsia="仿宋" w:cs="仿宋"/>
          <w:b/>
          <w:bCs/>
          <w:color w:val="FF0000"/>
          <w:kern w:val="0"/>
          <w:sz w:val="28"/>
          <w:szCs w:val="28"/>
        </w:rPr>
        <w:t>②少报、漏报；</w:t>
      </w:r>
    </w:p>
    <w:p w14:paraId="4D4EF9FE">
      <w:pPr>
        <w:spacing w:line="500" w:lineRule="exact"/>
        <w:ind w:firstLine="562" w:firstLineChars="200"/>
        <w:rPr>
          <w:rFonts w:ascii="仿宋" w:hAnsi="仿宋" w:eastAsia="仿宋" w:cs="仿宋"/>
          <w:b/>
          <w:bCs/>
          <w:sz w:val="28"/>
          <w:szCs w:val="28"/>
        </w:rPr>
      </w:pPr>
      <w:r>
        <w:rPr>
          <w:rFonts w:hint="eastAsia" w:ascii="仿宋" w:hAnsi="仿宋" w:eastAsia="仿宋" w:cs="仿宋"/>
          <w:b/>
          <w:bCs/>
          <w:color w:val="FF0000"/>
          <w:kern w:val="0"/>
          <w:sz w:val="28"/>
          <w:szCs w:val="28"/>
        </w:rPr>
        <w:t>③未按报价文件格式要求报价的其他情形。</w:t>
      </w:r>
    </w:p>
    <w:p w14:paraId="69D95D76">
      <w:pPr>
        <w:snapToGrid w:val="0"/>
        <w:spacing w:line="500" w:lineRule="exact"/>
        <w:ind w:firstLine="562" w:firstLineChars="200"/>
        <w:rPr>
          <w:rFonts w:ascii="Times New Roman" w:hAnsi="Times New Roman" w:eastAsia="仿宋" w:cs="Times New Roman"/>
          <w:b/>
          <w:bCs/>
          <w:color w:val="000000"/>
          <w:kern w:val="0"/>
          <w:sz w:val="28"/>
          <w:szCs w:val="28"/>
        </w:rPr>
      </w:pPr>
      <w:r>
        <w:rPr>
          <w:rFonts w:ascii="Times New Roman" w:hAnsi="Times New Roman" w:eastAsia="仿宋" w:cs="Times New Roman"/>
          <w:b/>
          <w:bCs/>
          <w:color w:val="000000"/>
          <w:kern w:val="0"/>
          <w:sz w:val="28"/>
          <w:szCs w:val="28"/>
        </w:rPr>
        <w:t>注：评标委员会认为投标人的报价明显低于其他通过符合性审查投标人的有效报价，有可能影响产品质量或者不能诚信履约的，投标单位须在30分钟内提供书面文件予以解释说明，并提交相关证明材料；投标单位不能证明其报价合理性的，评标委员会将其作为无效投标处理。</w:t>
      </w:r>
    </w:p>
    <w:p w14:paraId="52E3700D">
      <w:pPr>
        <w:snapToGrid w:val="0"/>
        <w:spacing w:line="500" w:lineRule="exact"/>
        <w:ind w:firstLine="560" w:firstLineChars="200"/>
        <w:rPr>
          <w:rFonts w:ascii="Times New Roman" w:hAnsi="Times New Roman" w:eastAsia="仿宋" w:cs="Times New Roman"/>
          <w:color w:val="000000"/>
          <w:kern w:val="0"/>
          <w:sz w:val="28"/>
          <w:szCs w:val="28"/>
        </w:rPr>
      </w:pPr>
      <w:r>
        <w:rPr>
          <w:rFonts w:ascii="Times New Roman" w:hAnsi="Times New Roman" w:eastAsia="仿宋" w:cs="Times New Roman"/>
          <w:color w:val="000000"/>
          <w:kern w:val="0"/>
          <w:sz w:val="28"/>
          <w:szCs w:val="28"/>
        </w:rPr>
        <w:t>（二）企业认证证书及获奖证书（5分）</w:t>
      </w:r>
    </w:p>
    <w:p w14:paraId="7A4E8A0C">
      <w:pPr>
        <w:snapToGrid w:val="0"/>
        <w:spacing w:line="500" w:lineRule="exact"/>
        <w:ind w:firstLine="560" w:firstLineChars="200"/>
        <w:rPr>
          <w:rFonts w:ascii="Times New Roman" w:hAnsi="Times New Roman" w:eastAsia="仿宋" w:cs="Times New Roman"/>
          <w:color w:val="000000"/>
          <w:kern w:val="0"/>
          <w:sz w:val="28"/>
          <w:szCs w:val="28"/>
        </w:rPr>
      </w:pPr>
      <w:r>
        <w:rPr>
          <w:rFonts w:ascii="Times New Roman" w:hAnsi="Times New Roman" w:eastAsia="仿宋" w:cs="Times New Roman"/>
          <w:color w:val="000000"/>
          <w:kern w:val="0"/>
          <w:sz w:val="28"/>
          <w:szCs w:val="28"/>
        </w:rPr>
        <w:t>1.投标单位具有ISO9001质量管理体系认证证书、HACCP或ISO22000食品安全管理体系认证证书、ISO14000环境管理体系认证证书，每提供一项有效期内证书得1分，最高得3分。</w:t>
      </w:r>
    </w:p>
    <w:p w14:paraId="48F71F02">
      <w:pPr>
        <w:snapToGrid w:val="0"/>
        <w:spacing w:line="500" w:lineRule="exact"/>
        <w:ind w:firstLine="560" w:firstLineChars="200"/>
        <w:rPr>
          <w:rFonts w:ascii="Times New Roman" w:hAnsi="Times New Roman" w:eastAsia="仿宋" w:cs="Times New Roman"/>
          <w:color w:val="000000"/>
          <w:kern w:val="0"/>
          <w:sz w:val="28"/>
          <w:szCs w:val="28"/>
        </w:rPr>
      </w:pPr>
      <w:r>
        <w:rPr>
          <w:rFonts w:hint="eastAsia" w:ascii="仿宋" w:hAnsi="仿宋" w:eastAsia="仿宋" w:cs="仿宋"/>
          <w:kern w:val="0"/>
          <w:sz w:val="28"/>
          <w:szCs w:val="28"/>
        </w:rPr>
        <w:t>注：</w:t>
      </w:r>
      <w:r>
        <w:rPr>
          <w:rFonts w:hint="eastAsia" w:ascii="仿宋" w:hAnsi="仿宋" w:eastAsia="仿宋" w:cs="仿宋"/>
          <w:b/>
          <w:bCs/>
          <w:sz w:val="28"/>
          <w:szCs w:val="28"/>
        </w:rPr>
        <w:t>须提供有效的证书复印件及国家认监委官网查询截图，否则不得分。</w:t>
      </w:r>
    </w:p>
    <w:p w14:paraId="47AE049F">
      <w:pPr>
        <w:snapToGrid w:val="0"/>
        <w:spacing w:line="500" w:lineRule="exact"/>
        <w:ind w:firstLine="560" w:firstLineChars="200"/>
        <w:rPr>
          <w:rFonts w:ascii="Times New Roman" w:hAnsi="Times New Roman" w:eastAsia="仿宋" w:cs="Times New Roman"/>
          <w:bCs/>
          <w:color w:val="000000"/>
          <w:kern w:val="0"/>
          <w:sz w:val="28"/>
          <w:szCs w:val="28"/>
        </w:rPr>
      </w:pPr>
      <w:r>
        <w:rPr>
          <w:rFonts w:ascii="Times New Roman" w:hAnsi="Times New Roman" w:eastAsia="仿宋" w:cs="Times New Roman"/>
          <w:bCs/>
          <w:color w:val="000000"/>
          <w:kern w:val="0"/>
          <w:sz w:val="28"/>
          <w:szCs w:val="28"/>
        </w:rPr>
        <w:t>2.</w:t>
      </w:r>
      <w:r>
        <w:rPr>
          <w:rFonts w:hint="eastAsia" w:ascii="Times New Roman" w:hAnsi="Times New Roman" w:eastAsia="仿宋" w:cs="Times New Roman"/>
          <w:bCs/>
          <w:color w:val="000000"/>
          <w:kern w:val="0"/>
          <w:sz w:val="28"/>
          <w:szCs w:val="28"/>
        </w:rPr>
        <w:t xml:space="preserve"> 2</w:t>
      </w:r>
      <w:r>
        <w:rPr>
          <w:rFonts w:ascii="Times New Roman" w:hAnsi="Times New Roman" w:eastAsia="仿宋" w:cs="Times New Roman"/>
          <w:bCs/>
          <w:color w:val="000000"/>
          <w:kern w:val="0"/>
          <w:sz w:val="28"/>
          <w:szCs w:val="28"/>
        </w:rPr>
        <w:t>023</w:t>
      </w:r>
      <w:r>
        <w:rPr>
          <w:rFonts w:hint="eastAsia" w:ascii="Times New Roman" w:hAnsi="Times New Roman" w:eastAsia="仿宋" w:cs="Times New Roman"/>
          <w:bCs/>
          <w:color w:val="000000"/>
          <w:kern w:val="0"/>
          <w:sz w:val="28"/>
          <w:szCs w:val="28"/>
        </w:rPr>
        <w:t>年6月以来，投标单位获得政府部门颁发的奖项。每项得1分，最高得2分。</w:t>
      </w:r>
    </w:p>
    <w:p w14:paraId="185D1E69">
      <w:pPr>
        <w:snapToGrid w:val="0"/>
        <w:spacing w:line="580" w:lineRule="exact"/>
        <w:ind w:firstLine="562" w:firstLineChars="200"/>
        <w:rPr>
          <w:rFonts w:ascii="Times New Roman" w:hAnsi="Times New Roman" w:eastAsia="仿宋" w:cs="Times New Roman"/>
          <w:b/>
          <w:bCs/>
          <w:color w:val="000000"/>
          <w:kern w:val="0"/>
          <w:sz w:val="28"/>
          <w:szCs w:val="28"/>
        </w:rPr>
      </w:pPr>
      <w:r>
        <w:rPr>
          <w:rFonts w:ascii="Times New Roman" w:hAnsi="Times New Roman" w:eastAsia="仿宋" w:cs="Times New Roman"/>
          <w:b/>
          <w:bCs/>
          <w:color w:val="000000"/>
          <w:kern w:val="0"/>
          <w:sz w:val="28"/>
          <w:szCs w:val="28"/>
        </w:rPr>
        <w:t>注：</w:t>
      </w:r>
      <w:r>
        <w:rPr>
          <w:rFonts w:hint="eastAsia" w:ascii="Times New Roman" w:hAnsi="Times New Roman" w:eastAsia="仿宋" w:cs="Times New Roman"/>
          <w:b/>
          <w:bCs/>
          <w:color w:val="000000"/>
          <w:kern w:val="0"/>
          <w:sz w:val="28"/>
          <w:szCs w:val="28"/>
        </w:rPr>
        <w:t>以上</w:t>
      </w:r>
      <w:r>
        <w:rPr>
          <w:rFonts w:ascii="Times New Roman" w:hAnsi="Times New Roman" w:eastAsia="仿宋" w:cs="Times New Roman"/>
          <w:b/>
          <w:bCs/>
          <w:color w:val="000000"/>
          <w:kern w:val="0"/>
          <w:sz w:val="28"/>
          <w:szCs w:val="28"/>
        </w:rPr>
        <w:t>须提供</w:t>
      </w:r>
      <w:r>
        <w:rPr>
          <w:rFonts w:hint="eastAsia" w:ascii="Times New Roman" w:hAnsi="Times New Roman" w:eastAsia="仿宋" w:cs="Times New Roman"/>
          <w:b/>
          <w:bCs/>
          <w:color w:val="000000"/>
          <w:kern w:val="0"/>
          <w:sz w:val="28"/>
          <w:szCs w:val="28"/>
        </w:rPr>
        <w:t>有效的</w:t>
      </w:r>
      <w:r>
        <w:rPr>
          <w:rFonts w:ascii="Times New Roman" w:hAnsi="Times New Roman" w:eastAsia="仿宋" w:cs="Times New Roman"/>
          <w:b/>
          <w:bCs/>
          <w:color w:val="000000"/>
          <w:kern w:val="0"/>
          <w:sz w:val="28"/>
          <w:szCs w:val="28"/>
        </w:rPr>
        <w:t>证书复印件或相关证明材料，否则不得分。</w:t>
      </w:r>
    </w:p>
    <w:p w14:paraId="47644EA7">
      <w:pPr>
        <w:snapToGrid w:val="0"/>
        <w:spacing w:line="580" w:lineRule="exact"/>
        <w:ind w:firstLine="560" w:firstLineChars="200"/>
        <w:rPr>
          <w:rFonts w:ascii="Times New Roman" w:hAnsi="Times New Roman" w:eastAsia="仿宋" w:cs="Times New Roman"/>
          <w:bCs/>
          <w:color w:val="000000" w:themeColor="text1"/>
          <w:kern w:val="0"/>
          <w:sz w:val="28"/>
          <w:szCs w:val="28"/>
          <w14:textFill>
            <w14:solidFill>
              <w14:schemeClr w14:val="tx1"/>
            </w14:solidFill>
          </w14:textFill>
        </w:rPr>
      </w:pPr>
      <w:r>
        <w:rPr>
          <w:rFonts w:ascii="Times New Roman" w:hAnsi="Times New Roman" w:eastAsia="仿宋" w:cs="Times New Roman"/>
          <w:color w:val="000000" w:themeColor="text1"/>
          <w:kern w:val="0"/>
          <w:sz w:val="28"/>
          <w:szCs w:val="28"/>
          <w14:textFill>
            <w14:solidFill>
              <w14:schemeClr w14:val="tx1"/>
            </w14:solidFill>
          </w14:textFill>
        </w:rPr>
        <w:t>（三）服务业绩</w:t>
      </w:r>
      <w:r>
        <w:rPr>
          <w:rFonts w:ascii="Times New Roman" w:hAnsi="Times New Roman" w:eastAsia="仿宋" w:cs="Times New Roman"/>
          <w:bCs/>
          <w:color w:val="000000" w:themeColor="text1"/>
          <w:kern w:val="0"/>
          <w:sz w:val="28"/>
          <w:szCs w:val="28"/>
          <w14:textFill>
            <w14:solidFill>
              <w14:schemeClr w14:val="tx1"/>
            </w14:solidFill>
          </w14:textFill>
        </w:rPr>
        <w:t>（20分）</w:t>
      </w:r>
    </w:p>
    <w:p w14:paraId="3B235A8D">
      <w:pPr>
        <w:spacing w:line="50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Times New Roman" w:hAnsi="Times New Roman" w:eastAsia="仿宋" w:cs="Times New Roman"/>
          <w:bCs/>
          <w:color w:val="000000" w:themeColor="text1"/>
          <w:kern w:val="0"/>
          <w:sz w:val="28"/>
          <w:szCs w:val="28"/>
          <w14:textFill>
            <w14:solidFill>
              <w14:schemeClr w14:val="tx1"/>
            </w14:solidFill>
          </w14:textFill>
        </w:rPr>
        <w:t>（1）根据投标单位提供的自202</w:t>
      </w:r>
      <w:r>
        <w:rPr>
          <w:rFonts w:ascii="Times New Roman" w:hAnsi="Times New Roman" w:eastAsia="仿宋" w:cs="Times New Roman"/>
          <w:bCs/>
          <w:color w:val="000000" w:themeColor="text1"/>
          <w:kern w:val="0"/>
          <w:sz w:val="28"/>
          <w:szCs w:val="28"/>
          <w14:textFill>
            <w14:solidFill>
              <w14:schemeClr w14:val="tx1"/>
            </w14:solidFill>
          </w14:textFill>
        </w:rPr>
        <w:t>3</w:t>
      </w:r>
      <w:r>
        <w:rPr>
          <w:rFonts w:hint="eastAsia" w:ascii="Times New Roman" w:hAnsi="Times New Roman" w:eastAsia="仿宋" w:cs="Times New Roman"/>
          <w:bCs/>
          <w:color w:val="000000" w:themeColor="text1"/>
          <w:kern w:val="0"/>
          <w:sz w:val="28"/>
          <w:szCs w:val="28"/>
          <w14:textFill>
            <w14:solidFill>
              <w14:schemeClr w14:val="tx1"/>
            </w14:solidFill>
          </w14:textFill>
        </w:rPr>
        <w:t>年6月以来（以合同签订时间为准）与企事业单位的供货证明进行评定。每项业绩须包括：</w:t>
      </w:r>
      <w:r>
        <w:rPr>
          <w:rFonts w:ascii="仿宋" w:hAnsi="仿宋" w:eastAsia="仿宋" w:cs="仿宋"/>
          <w:color w:val="000000" w:themeColor="text1"/>
          <w:sz w:val="28"/>
          <w:szCs w:val="28"/>
          <w14:textFill>
            <w14:solidFill>
              <w14:schemeClr w14:val="tx1"/>
            </w14:solidFill>
          </w14:textFill>
        </w:rPr>
        <w:t>①</w:t>
      </w:r>
      <w:r>
        <w:rPr>
          <w:rFonts w:hint="eastAsia" w:ascii="仿宋" w:hAnsi="仿宋" w:eastAsia="仿宋" w:cs="仿宋"/>
          <w:color w:val="000000" w:themeColor="text1"/>
          <w:sz w:val="28"/>
          <w:szCs w:val="28"/>
          <w14:textFill>
            <w14:solidFill>
              <w14:schemeClr w14:val="tx1"/>
            </w14:solidFill>
          </w14:textFill>
        </w:rPr>
        <w:t>每项业绩的合同实际履行时间必须一年及以上；②须提供完整合同复印件；③须提供标段产品的实际供货清单，包括所投标段的品类、全部或部分品种。每提供1份完整有效业绩得1</w:t>
      </w:r>
      <w:r>
        <w:rPr>
          <w:rFonts w:ascii="仿宋" w:hAnsi="仿宋" w:eastAsia="仿宋" w:cs="仿宋"/>
          <w:color w:val="000000" w:themeColor="text1"/>
          <w:sz w:val="28"/>
          <w:szCs w:val="28"/>
          <w14:textFill>
            <w14:solidFill>
              <w14:schemeClr w14:val="tx1"/>
            </w14:solidFill>
          </w14:textFill>
        </w:rPr>
        <w:t>分，</w:t>
      </w:r>
      <w:r>
        <w:rPr>
          <w:rFonts w:hint="eastAsia" w:ascii="仿宋" w:hAnsi="仿宋" w:eastAsia="仿宋" w:cs="仿宋"/>
          <w:color w:val="000000" w:themeColor="text1"/>
          <w:sz w:val="28"/>
          <w:szCs w:val="28"/>
          <w14:textFill>
            <w14:solidFill>
              <w14:schemeClr w14:val="tx1"/>
            </w14:solidFill>
          </w14:textFill>
        </w:rPr>
        <w:t>最高得12分。</w:t>
      </w:r>
    </w:p>
    <w:p w14:paraId="63DEB1E1">
      <w:pPr>
        <w:snapToGrid w:val="0"/>
        <w:spacing w:line="500" w:lineRule="exact"/>
        <w:ind w:firstLine="562" w:firstLineChars="200"/>
        <w:rPr>
          <w:rFonts w:ascii="Times New Roman" w:hAnsi="Times New Roman" w:eastAsia="仿宋" w:cs="Times New Roman"/>
          <w:b/>
          <w:bCs/>
          <w:color w:val="000000" w:themeColor="text1"/>
          <w:kern w:val="0"/>
          <w:sz w:val="28"/>
          <w:szCs w:val="28"/>
          <w14:textFill>
            <w14:solidFill>
              <w14:schemeClr w14:val="tx1"/>
            </w14:solidFill>
          </w14:textFill>
        </w:rPr>
      </w:pPr>
      <w:r>
        <w:rPr>
          <w:rFonts w:hint="eastAsia" w:ascii="Times New Roman" w:hAnsi="Times New Roman" w:eastAsia="仿宋" w:cs="Times New Roman"/>
          <w:b/>
          <w:bCs/>
          <w:color w:val="000000" w:themeColor="text1"/>
          <w:kern w:val="0"/>
          <w:sz w:val="28"/>
          <w:szCs w:val="28"/>
          <w14:textFill>
            <w14:solidFill>
              <w14:schemeClr w14:val="tx1"/>
            </w14:solidFill>
          </w14:textFill>
        </w:rPr>
        <w:t>注：未提供或提供不全不得分，业绩为同一服务单位的不重复计分。中标后，中标单位须提供上述合同原件供学校核查。</w:t>
      </w:r>
    </w:p>
    <w:p w14:paraId="0656EC8C">
      <w:pPr>
        <w:spacing w:line="50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（2）投标单位所提供的上述业绩，若同一服务单位的履约时间连续三年及以上的，每提供一份符合要求的得2</w:t>
      </w:r>
      <w:r>
        <w:rPr>
          <w:rFonts w:ascii="仿宋" w:hAnsi="仿宋" w:eastAsia="仿宋" w:cs="仿宋"/>
          <w:color w:val="000000" w:themeColor="text1"/>
          <w:sz w:val="28"/>
          <w:szCs w:val="28"/>
          <w14:textFill>
            <w14:solidFill>
              <w14:schemeClr w14:val="tx1"/>
            </w14:solidFill>
          </w14:textFill>
        </w:rPr>
        <w:t>分，最多</w:t>
      </w:r>
      <w:r>
        <w:rPr>
          <w:rFonts w:hint="eastAsia" w:ascii="仿宋" w:hAnsi="仿宋" w:eastAsia="仿宋" w:cs="仿宋"/>
          <w:color w:val="000000" w:themeColor="text1"/>
          <w:sz w:val="28"/>
          <w:szCs w:val="28"/>
          <w14:textFill>
            <w14:solidFill>
              <w14:schemeClr w14:val="tx1"/>
            </w14:solidFill>
          </w14:textFill>
        </w:rPr>
        <w:t>得4</w:t>
      </w:r>
      <w:r>
        <w:rPr>
          <w:rFonts w:ascii="仿宋" w:hAnsi="仿宋" w:eastAsia="仿宋" w:cs="仿宋"/>
          <w:color w:val="000000" w:themeColor="text1"/>
          <w:sz w:val="28"/>
          <w:szCs w:val="28"/>
          <w14:textFill>
            <w14:solidFill>
              <w14:schemeClr w14:val="tx1"/>
            </w14:solidFill>
          </w14:textFill>
        </w:rPr>
        <w:t>分。</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lang w:val="en-US" w:eastAsia="zh-CN"/>
          <w14:textFill>
            <w14:solidFill>
              <w14:schemeClr w14:val="tx1"/>
            </w14:solidFill>
          </w14:textFill>
        </w:rPr>
        <w:t>须</w:t>
      </w:r>
      <w:r>
        <w:rPr>
          <w:rFonts w:hint="eastAsia" w:ascii="仿宋" w:hAnsi="仿宋" w:eastAsia="仿宋" w:cs="仿宋"/>
          <w:color w:val="000000" w:themeColor="text1"/>
          <w:sz w:val="28"/>
          <w:szCs w:val="28"/>
          <w14:textFill>
            <w14:solidFill>
              <w14:schemeClr w14:val="tx1"/>
            </w14:solidFill>
          </w14:textFill>
        </w:rPr>
        <w:t>提供</w:t>
      </w:r>
      <w:r>
        <w:rPr>
          <w:rFonts w:hint="eastAsia" w:ascii="仿宋" w:hAnsi="仿宋" w:eastAsia="仿宋" w:cs="仿宋"/>
          <w:color w:val="000000" w:themeColor="text1"/>
          <w:sz w:val="28"/>
          <w:szCs w:val="28"/>
          <w:lang w:val="en-US" w:eastAsia="zh-CN"/>
          <w14:textFill>
            <w14:solidFill>
              <w14:schemeClr w14:val="tx1"/>
            </w14:solidFill>
          </w14:textFill>
        </w:rPr>
        <w:t>覆盖履约期限的</w:t>
      </w:r>
      <w:r>
        <w:rPr>
          <w:rFonts w:hint="eastAsia" w:ascii="仿宋" w:hAnsi="仿宋" w:eastAsia="仿宋" w:cs="仿宋"/>
          <w:color w:val="000000" w:themeColor="text1"/>
          <w:sz w:val="28"/>
          <w:szCs w:val="28"/>
          <w14:textFill>
            <w14:solidFill>
              <w14:schemeClr w14:val="tx1"/>
            </w14:solidFill>
          </w14:textFill>
        </w:rPr>
        <w:t>完整合同复印件</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lang w:val="en-US" w:eastAsia="zh-CN"/>
          <w14:textFill>
            <w14:solidFill>
              <w14:schemeClr w14:val="tx1"/>
            </w14:solidFill>
          </w14:textFill>
        </w:rPr>
        <w:t>否则不得分</w:t>
      </w:r>
      <w:r>
        <w:rPr>
          <w:rFonts w:hint="eastAsia" w:ascii="仿宋" w:hAnsi="仿宋" w:eastAsia="仿宋" w:cs="仿宋"/>
          <w:color w:val="000000" w:themeColor="text1"/>
          <w:sz w:val="28"/>
          <w:szCs w:val="28"/>
          <w:lang w:eastAsia="zh-CN"/>
          <w14:textFill>
            <w14:solidFill>
              <w14:schemeClr w14:val="tx1"/>
            </w14:solidFill>
          </w14:textFill>
        </w:rPr>
        <w:t>）</w:t>
      </w:r>
    </w:p>
    <w:p w14:paraId="4AA2F131">
      <w:pPr>
        <w:snapToGrid w:val="0"/>
        <w:spacing w:line="500" w:lineRule="exact"/>
        <w:ind w:firstLine="560" w:firstLineChars="200"/>
        <w:rPr>
          <w:rFonts w:ascii="Times New Roman" w:hAnsi="Times New Roman" w:eastAsia="仿宋" w:cs="Times New Roman"/>
          <w:bCs/>
          <w:color w:val="000000" w:themeColor="text1"/>
          <w:kern w:val="0"/>
          <w:sz w:val="28"/>
          <w:szCs w:val="28"/>
          <w14:textFill>
            <w14:solidFill>
              <w14:schemeClr w14:val="tx1"/>
            </w14:solidFill>
          </w14:textFill>
        </w:rPr>
      </w:pPr>
      <w:r>
        <w:rPr>
          <w:rFonts w:ascii="仿宋" w:hAnsi="仿宋" w:eastAsia="仿宋" w:cs="仿宋"/>
          <w:color w:val="000000" w:themeColor="text1"/>
          <w:sz w:val="28"/>
          <w:szCs w:val="28"/>
          <w14:textFill>
            <w14:solidFill>
              <w14:schemeClr w14:val="tx1"/>
            </w14:solidFill>
          </w14:textFill>
        </w:rPr>
        <w:t>（</w:t>
      </w:r>
      <w:r>
        <w:rPr>
          <w:rFonts w:hint="eastAsia" w:ascii="仿宋" w:hAnsi="仿宋" w:eastAsia="仿宋" w:cs="仿宋"/>
          <w:color w:val="000000" w:themeColor="text1"/>
          <w:sz w:val="28"/>
          <w:szCs w:val="28"/>
          <w14:textFill>
            <w14:solidFill>
              <w14:schemeClr w14:val="tx1"/>
            </w14:solidFill>
          </w14:textFill>
        </w:rPr>
        <w:t>3</w:t>
      </w:r>
      <w:r>
        <w:rPr>
          <w:rFonts w:ascii="仿宋" w:hAnsi="仿宋" w:eastAsia="仿宋" w:cs="仿宋"/>
          <w:color w:val="000000" w:themeColor="text1"/>
          <w:sz w:val="28"/>
          <w:szCs w:val="28"/>
          <w14:textFill>
            <w14:solidFill>
              <w14:schemeClr w14:val="tx1"/>
            </w14:solidFill>
          </w14:textFill>
        </w:rPr>
        <w:t>）</w:t>
      </w:r>
      <w:r>
        <w:rPr>
          <w:rFonts w:hint="eastAsia" w:ascii="仿宋" w:hAnsi="仿宋" w:eastAsia="仿宋" w:cs="仿宋"/>
          <w:color w:val="000000" w:themeColor="text1"/>
          <w:sz w:val="28"/>
          <w:szCs w:val="28"/>
          <w14:textFill>
            <w14:solidFill>
              <w14:schemeClr w14:val="tx1"/>
            </w14:solidFill>
          </w14:textFill>
        </w:rPr>
        <w:t>上述业绩中投标单位获得过服务单位评优评先表彰的，每提供一个得2</w:t>
      </w:r>
      <w:r>
        <w:rPr>
          <w:rFonts w:ascii="仿宋" w:hAnsi="仿宋" w:eastAsia="仿宋" w:cs="仿宋"/>
          <w:color w:val="000000" w:themeColor="text1"/>
          <w:sz w:val="28"/>
          <w:szCs w:val="28"/>
          <w14:textFill>
            <w14:solidFill>
              <w14:schemeClr w14:val="tx1"/>
            </w14:solidFill>
          </w14:textFill>
        </w:rPr>
        <w:t>分，最多加</w:t>
      </w:r>
      <w:r>
        <w:rPr>
          <w:rFonts w:hint="eastAsia" w:ascii="仿宋" w:hAnsi="仿宋" w:eastAsia="仿宋" w:cs="仿宋"/>
          <w:color w:val="000000" w:themeColor="text1"/>
          <w:sz w:val="28"/>
          <w:szCs w:val="28"/>
          <w14:textFill>
            <w14:solidFill>
              <w14:schemeClr w14:val="tx1"/>
            </w14:solidFill>
          </w14:textFill>
        </w:rPr>
        <w:t>4</w:t>
      </w:r>
      <w:r>
        <w:rPr>
          <w:rFonts w:ascii="仿宋" w:hAnsi="仿宋" w:eastAsia="仿宋" w:cs="仿宋"/>
          <w:color w:val="000000" w:themeColor="text1"/>
          <w:sz w:val="28"/>
          <w:szCs w:val="28"/>
          <w14:textFill>
            <w14:solidFill>
              <w14:schemeClr w14:val="tx1"/>
            </w14:solidFill>
          </w14:textFill>
        </w:rPr>
        <w:t>分。（</w:t>
      </w:r>
      <w:r>
        <w:rPr>
          <w:rFonts w:hint="eastAsia" w:ascii="仿宋" w:hAnsi="仿宋" w:eastAsia="仿宋" w:cs="仿宋"/>
          <w:color w:val="000000" w:themeColor="text1"/>
          <w:sz w:val="28"/>
          <w:szCs w:val="28"/>
          <w14:textFill>
            <w14:solidFill>
              <w14:schemeClr w14:val="tx1"/>
            </w14:solidFill>
          </w14:textFill>
        </w:rPr>
        <w:t>须提供服务单位出具的盖章证明材料</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lang w:val="en-US" w:eastAsia="zh-CN"/>
          <w14:textFill>
            <w14:solidFill>
              <w14:schemeClr w14:val="tx1"/>
            </w14:solidFill>
          </w14:textFill>
        </w:rPr>
        <w:t>否则不得分</w:t>
      </w:r>
      <w:r>
        <w:rPr>
          <w:rFonts w:ascii="仿宋" w:hAnsi="仿宋" w:eastAsia="仿宋" w:cs="仿宋"/>
          <w:color w:val="000000" w:themeColor="text1"/>
          <w:sz w:val="28"/>
          <w:szCs w:val="28"/>
          <w14:textFill>
            <w14:solidFill>
              <w14:schemeClr w14:val="tx1"/>
            </w14:solidFill>
          </w14:textFill>
        </w:rPr>
        <w:t>）</w:t>
      </w:r>
    </w:p>
    <w:p w14:paraId="680BAF0D">
      <w:pPr>
        <w:snapToGrid w:val="0"/>
        <w:spacing w:line="500" w:lineRule="exact"/>
        <w:ind w:firstLine="560" w:firstLineChars="200"/>
        <w:rPr>
          <w:rFonts w:ascii="Times New Roman" w:hAnsi="Times New Roman" w:eastAsia="仿宋" w:cs="Times New Roman"/>
          <w:color w:val="000000" w:themeColor="text1"/>
          <w:kern w:val="0"/>
          <w:sz w:val="28"/>
          <w:szCs w:val="28"/>
          <w14:textFill>
            <w14:solidFill>
              <w14:schemeClr w14:val="tx1"/>
            </w14:solidFill>
          </w14:textFill>
        </w:rPr>
      </w:pPr>
      <w:r>
        <w:rPr>
          <w:rFonts w:ascii="Times New Roman" w:hAnsi="Times New Roman" w:eastAsia="仿宋" w:cs="Times New Roman"/>
          <w:color w:val="000000" w:themeColor="text1"/>
          <w:kern w:val="0"/>
          <w:sz w:val="28"/>
          <w:szCs w:val="28"/>
          <w14:textFill>
            <w14:solidFill>
              <w14:schemeClr w14:val="tx1"/>
            </w14:solidFill>
          </w14:textFill>
        </w:rPr>
        <w:t>（四）仓储面积（8分）</w:t>
      </w:r>
    </w:p>
    <w:p w14:paraId="23478627">
      <w:pPr>
        <w:snapToGrid w:val="0"/>
        <w:spacing w:line="500" w:lineRule="exact"/>
        <w:ind w:firstLine="560" w:firstLineChars="200"/>
        <w:rPr>
          <w:rFonts w:ascii="Times New Roman" w:hAnsi="Times New Roman" w:eastAsia="仿宋" w:cs="Times New Roman"/>
          <w:color w:val="000000"/>
          <w:kern w:val="0"/>
          <w:sz w:val="28"/>
          <w:szCs w:val="28"/>
        </w:rPr>
      </w:pPr>
      <w:r>
        <w:rPr>
          <w:rFonts w:ascii="Times New Roman" w:hAnsi="Times New Roman" w:eastAsia="仿宋" w:cs="Times New Roman"/>
          <w:color w:val="000000" w:themeColor="text1"/>
          <w:kern w:val="0"/>
          <w:sz w:val="28"/>
          <w:szCs w:val="28"/>
          <w14:textFill>
            <w14:solidFill>
              <w14:schemeClr w14:val="tx1"/>
            </w14:solidFill>
          </w14:textFill>
        </w:rPr>
        <w:t>仓储面积低于500平方米不得分，每满500平方米加2分，最高</w:t>
      </w:r>
      <w:r>
        <w:rPr>
          <w:rFonts w:ascii="Times New Roman" w:hAnsi="Times New Roman" w:eastAsia="仿宋" w:cs="Times New Roman"/>
          <w:color w:val="000000"/>
          <w:kern w:val="0"/>
          <w:sz w:val="28"/>
          <w:szCs w:val="28"/>
        </w:rPr>
        <w:t>加8分。</w:t>
      </w:r>
    </w:p>
    <w:p w14:paraId="09F24663">
      <w:pPr>
        <w:snapToGrid w:val="0"/>
        <w:spacing w:line="500" w:lineRule="exact"/>
        <w:ind w:firstLine="562" w:firstLineChars="200"/>
        <w:rPr>
          <w:rFonts w:ascii="Times New Roman" w:hAnsi="Times New Roman" w:eastAsia="仿宋" w:cs="Times New Roman"/>
          <w:b/>
          <w:bCs/>
          <w:color w:val="000000"/>
          <w:kern w:val="0"/>
          <w:sz w:val="28"/>
          <w:szCs w:val="28"/>
        </w:rPr>
      </w:pPr>
      <w:r>
        <w:rPr>
          <w:rFonts w:ascii="Times New Roman" w:hAnsi="Times New Roman" w:eastAsia="仿宋" w:cs="Times New Roman"/>
          <w:b/>
          <w:bCs/>
          <w:color w:val="000000"/>
          <w:kern w:val="0"/>
          <w:sz w:val="28"/>
          <w:szCs w:val="28"/>
        </w:rPr>
        <w:t>注：须提供仓库的相关图片。自有仓库的须提供相关产权证明复印件，租赁仓库的须提供租赁协议及出租方相关产权证明复印件。</w:t>
      </w:r>
      <w:bookmarkStart w:id="11" w:name="_Hlk185674681"/>
      <w:r>
        <w:rPr>
          <w:rFonts w:hint="eastAsia" w:ascii="Times New Roman" w:hAnsi="Times New Roman" w:eastAsia="仿宋" w:cs="Times New Roman"/>
          <w:b/>
          <w:bCs/>
          <w:color w:val="000000"/>
          <w:kern w:val="0"/>
          <w:sz w:val="28"/>
          <w:szCs w:val="28"/>
        </w:rPr>
        <w:t>未</w:t>
      </w:r>
      <w:r>
        <w:rPr>
          <w:rFonts w:ascii="Times New Roman" w:hAnsi="Times New Roman" w:eastAsia="仿宋" w:cs="Times New Roman"/>
          <w:b/>
          <w:bCs/>
          <w:color w:val="000000"/>
          <w:kern w:val="0"/>
          <w:sz w:val="28"/>
          <w:szCs w:val="28"/>
        </w:rPr>
        <w:t>提供或提供不全的，</w:t>
      </w:r>
      <w:bookmarkEnd w:id="11"/>
      <w:r>
        <w:rPr>
          <w:rFonts w:ascii="Times New Roman" w:hAnsi="Times New Roman" w:eastAsia="仿宋" w:cs="Times New Roman"/>
          <w:b/>
          <w:bCs/>
          <w:color w:val="000000"/>
          <w:kern w:val="0"/>
          <w:sz w:val="28"/>
          <w:szCs w:val="28"/>
        </w:rPr>
        <w:t>不得分。中标后，中标单位提供上述</w:t>
      </w:r>
      <w:r>
        <w:rPr>
          <w:rFonts w:hint="eastAsia" w:ascii="Times New Roman" w:hAnsi="Times New Roman" w:eastAsia="仿宋" w:cs="Times New Roman"/>
          <w:b/>
          <w:bCs/>
          <w:color w:val="000000"/>
          <w:kern w:val="0"/>
          <w:sz w:val="28"/>
          <w:szCs w:val="28"/>
          <w:lang w:val="en-US" w:eastAsia="zh-CN"/>
        </w:rPr>
        <w:t>材料</w:t>
      </w:r>
      <w:r>
        <w:rPr>
          <w:rFonts w:ascii="Times New Roman" w:hAnsi="Times New Roman" w:eastAsia="仿宋" w:cs="Times New Roman"/>
          <w:b/>
          <w:bCs/>
          <w:color w:val="000000"/>
          <w:kern w:val="0"/>
          <w:sz w:val="28"/>
          <w:szCs w:val="28"/>
        </w:rPr>
        <w:t>原件供学校核查。</w:t>
      </w:r>
    </w:p>
    <w:p w14:paraId="2E82EAA1">
      <w:pPr>
        <w:snapToGrid w:val="0"/>
        <w:spacing w:line="500" w:lineRule="exact"/>
        <w:ind w:firstLine="560" w:firstLineChars="200"/>
        <w:rPr>
          <w:rFonts w:ascii="Times New Roman" w:hAnsi="Times New Roman" w:eastAsia="仿宋" w:cs="Times New Roman"/>
          <w:color w:val="000000"/>
          <w:kern w:val="0"/>
          <w:sz w:val="28"/>
          <w:szCs w:val="28"/>
        </w:rPr>
      </w:pPr>
      <w:r>
        <w:rPr>
          <w:rFonts w:ascii="Times New Roman" w:hAnsi="Times New Roman" w:eastAsia="仿宋" w:cs="Times New Roman"/>
          <w:color w:val="000000"/>
          <w:kern w:val="0"/>
          <w:sz w:val="28"/>
          <w:szCs w:val="28"/>
        </w:rPr>
        <w:t>（五）运输能力（4分）</w:t>
      </w:r>
    </w:p>
    <w:p w14:paraId="6F6FF1D6">
      <w:pPr>
        <w:snapToGrid w:val="0"/>
        <w:spacing w:line="500" w:lineRule="exact"/>
        <w:ind w:firstLine="560" w:firstLineChars="200"/>
        <w:rPr>
          <w:rFonts w:ascii="Times New Roman" w:hAnsi="Times New Roman" w:eastAsia="仿宋" w:cs="Times New Roman"/>
          <w:color w:val="000000"/>
          <w:kern w:val="0"/>
          <w:sz w:val="28"/>
          <w:szCs w:val="28"/>
        </w:rPr>
      </w:pPr>
      <w:r>
        <w:rPr>
          <w:rFonts w:ascii="Times New Roman" w:hAnsi="Times New Roman" w:eastAsia="仿宋" w:cs="Times New Roman"/>
          <w:color w:val="000000"/>
          <w:kern w:val="0"/>
          <w:sz w:val="28"/>
          <w:szCs w:val="28"/>
        </w:rPr>
        <w:t>根据投标单位提供的运输车辆情况进行评分，少于4辆不得分，每满4辆加2分，最高得4分。</w:t>
      </w:r>
    </w:p>
    <w:p w14:paraId="349D864B">
      <w:pPr>
        <w:snapToGrid w:val="0"/>
        <w:spacing w:line="500" w:lineRule="exact"/>
        <w:ind w:firstLine="562" w:firstLineChars="200"/>
        <w:rPr>
          <w:rFonts w:ascii="Times New Roman" w:hAnsi="Times New Roman" w:eastAsia="仿宋" w:cs="Times New Roman"/>
          <w:b/>
          <w:bCs/>
          <w:color w:val="000000" w:themeColor="text1"/>
          <w:kern w:val="0"/>
          <w:sz w:val="28"/>
          <w:szCs w:val="28"/>
          <w14:textFill>
            <w14:solidFill>
              <w14:schemeClr w14:val="tx1"/>
            </w14:solidFill>
          </w14:textFill>
        </w:rPr>
      </w:pPr>
      <w:r>
        <w:rPr>
          <w:rFonts w:ascii="Times New Roman" w:hAnsi="Times New Roman" w:eastAsia="仿宋" w:cs="Times New Roman"/>
          <w:b/>
          <w:bCs/>
          <w:color w:val="000000"/>
          <w:kern w:val="0"/>
          <w:sz w:val="28"/>
          <w:szCs w:val="28"/>
        </w:rPr>
        <w:t>注：自有运输车辆须提供运输车辆的</w:t>
      </w:r>
      <w:r>
        <w:rPr>
          <w:rFonts w:ascii="Times New Roman" w:hAnsi="Times New Roman" w:eastAsia="仿宋" w:cs="Times New Roman"/>
          <w:b/>
          <w:bCs/>
          <w:kern w:val="0"/>
          <w:sz w:val="28"/>
          <w:szCs w:val="28"/>
        </w:rPr>
        <w:t>机动车行驶证复印件；租赁</w:t>
      </w:r>
      <w:r>
        <w:rPr>
          <w:rFonts w:ascii="Times New Roman" w:hAnsi="Times New Roman" w:eastAsia="仿宋" w:cs="Times New Roman"/>
          <w:b/>
          <w:bCs/>
          <w:color w:val="000000" w:themeColor="text1"/>
          <w:kern w:val="0"/>
          <w:sz w:val="28"/>
          <w:szCs w:val="28"/>
          <w14:textFill>
            <w14:solidFill>
              <w14:schemeClr w14:val="tx1"/>
            </w14:solidFill>
          </w14:textFill>
        </w:rPr>
        <w:t>的须提供租赁协议及运输车辆的机动车行驶证复印件</w:t>
      </w:r>
      <w:r>
        <w:rPr>
          <w:rFonts w:hint="eastAsia" w:ascii="Times New Roman" w:hAnsi="Times New Roman" w:eastAsia="仿宋" w:cs="Times New Roman"/>
          <w:b/>
          <w:bCs/>
          <w:color w:val="000000" w:themeColor="text1"/>
          <w:kern w:val="0"/>
          <w:sz w:val="28"/>
          <w:szCs w:val="28"/>
          <w14:textFill>
            <w14:solidFill>
              <w14:schemeClr w14:val="tx1"/>
            </w14:solidFill>
          </w14:textFill>
        </w:rPr>
        <w:t>，同时</w:t>
      </w:r>
      <w:r>
        <w:rPr>
          <w:rFonts w:ascii="Times New Roman" w:hAnsi="Times New Roman" w:eastAsia="仿宋" w:cs="Times New Roman"/>
          <w:b/>
          <w:bCs/>
          <w:color w:val="000000" w:themeColor="text1"/>
          <w:kern w:val="0"/>
          <w:sz w:val="28"/>
          <w:szCs w:val="28"/>
          <w14:textFill>
            <w14:solidFill>
              <w14:schemeClr w14:val="tx1"/>
            </w14:solidFill>
          </w14:textFill>
        </w:rPr>
        <w:t>提供配送车辆专用承诺函。</w:t>
      </w:r>
      <w:r>
        <w:rPr>
          <w:rFonts w:hint="eastAsia" w:ascii="Times New Roman" w:hAnsi="Times New Roman" w:eastAsia="仿宋" w:cs="Times New Roman"/>
          <w:b/>
          <w:bCs/>
          <w:color w:val="000000" w:themeColor="text1"/>
          <w:kern w:val="0"/>
          <w:sz w:val="28"/>
          <w:szCs w:val="28"/>
          <w14:textFill>
            <w14:solidFill>
              <w14:schemeClr w14:val="tx1"/>
            </w14:solidFill>
          </w14:textFill>
        </w:rPr>
        <w:t>未</w:t>
      </w:r>
      <w:r>
        <w:rPr>
          <w:rFonts w:ascii="Times New Roman" w:hAnsi="Times New Roman" w:eastAsia="仿宋" w:cs="Times New Roman"/>
          <w:b/>
          <w:bCs/>
          <w:color w:val="000000" w:themeColor="text1"/>
          <w:kern w:val="0"/>
          <w:sz w:val="28"/>
          <w:szCs w:val="28"/>
          <w14:textFill>
            <w14:solidFill>
              <w14:schemeClr w14:val="tx1"/>
            </w14:solidFill>
          </w14:textFill>
        </w:rPr>
        <w:t>提供或提供不全的，不得分。</w:t>
      </w:r>
    </w:p>
    <w:p w14:paraId="1A35C649">
      <w:pPr>
        <w:snapToGrid w:val="0"/>
        <w:spacing w:line="500" w:lineRule="exact"/>
        <w:ind w:firstLine="554" w:firstLineChars="198"/>
        <w:rPr>
          <w:rFonts w:ascii="Times New Roman" w:hAnsi="Times New Roman" w:eastAsia="仿宋" w:cs="Times New Roman"/>
          <w:color w:val="000000" w:themeColor="text1"/>
          <w:sz w:val="28"/>
          <w:szCs w:val="28"/>
          <w14:textFill>
            <w14:solidFill>
              <w14:schemeClr w14:val="tx1"/>
            </w14:solidFill>
          </w14:textFill>
        </w:rPr>
      </w:pPr>
      <w:r>
        <w:rPr>
          <w:rFonts w:ascii="Times New Roman" w:hAnsi="Times New Roman" w:eastAsia="仿宋" w:cs="Times New Roman"/>
          <w:color w:val="000000" w:themeColor="text1"/>
          <w:kern w:val="0"/>
          <w:sz w:val="28"/>
          <w:szCs w:val="28"/>
          <w14:textFill>
            <w14:solidFill>
              <w14:schemeClr w14:val="tx1"/>
            </w14:solidFill>
          </w14:textFill>
        </w:rPr>
        <w:t>（六）</w:t>
      </w:r>
      <w:r>
        <w:rPr>
          <w:rFonts w:hint="eastAsia" w:ascii="Times New Roman" w:hAnsi="Times New Roman" w:eastAsia="仿宋" w:cs="Times New Roman"/>
          <w:color w:val="000000" w:themeColor="text1"/>
          <w:sz w:val="28"/>
          <w:szCs w:val="28"/>
          <w14:textFill>
            <w14:solidFill>
              <w14:schemeClr w14:val="tx1"/>
            </w14:solidFill>
          </w14:textFill>
        </w:rPr>
        <w:t>食品安全保障机制（</w:t>
      </w:r>
      <w:r>
        <w:rPr>
          <w:rFonts w:ascii="Times New Roman" w:hAnsi="Times New Roman" w:eastAsia="仿宋" w:cs="Times New Roman"/>
          <w:color w:val="000000" w:themeColor="text1"/>
          <w:sz w:val="28"/>
          <w:szCs w:val="28"/>
          <w14:textFill>
            <w14:solidFill>
              <w14:schemeClr w14:val="tx1"/>
            </w14:solidFill>
          </w14:textFill>
        </w:rPr>
        <w:t>12分</w:t>
      </w:r>
      <w:r>
        <w:rPr>
          <w:rFonts w:hint="eastAsia" w:ascii="Times New Roman" w:hAnsi="Times New Roman" w:eastAsia="仿宋" w:cs="Times New Roman"/>
          <w:color w:val="000000" w:themeColor="text1"/>
          <w:sz w:val="28"/>
          <w:szCs w:val="28"/>
          <w14:textFill>
            <w14:solidFill>
              <w14:schemeClr w14:val="tx1"/>
            </w14:solidFill>
          </w14:textFill>
        </w:rPr>
        <w:t>）</w:t>
      </w:r>
    </w:p>
    <w:p w14:paraId="1C04AC99">
      <w:pPr>
        <w:snapToGrid w:val="0"/>
        <w:spacing w:line="500" w:lineRule="exact"/>
        <w:ind w:firstLine="554" w:firstLineChars="198"/>
        <w:rPr>
          <w:rFonts w:ascii="Times New Roman" w:hAnsi="Times New Roman" w:eastAsia="仿宋" w:cs="Times New Roman"/>
          <w:color w:val="000000" w:themeColor="text1"/>
          <w:sz w:val="28"/>
          <w:szCs w:val="28"/>
          <w14:textFill>
            <w14:solidFill>
              <w14:schemeClr w14:val="tx1"/>
            </w14:solidFill>
          </w14:textFill>
        </w:rPr>
      </w:pPr>
      <w:r>
        <w:rPr>
          <w:rFonts w:hint="eastAsia" w:ascii="Times New Roman" w:hAnsi="Times New Roman" w:eastAsia="仿宋" w:cs="Times New Roman"/>
          <w:color w:val="000000" w:themeColor="text1"/>
          <w:sz w:val="28"/>
          <w:szCs w:val="28"/>
          <w14:textFill>
            <w14:solidFill>
              <w14:schemeClr w14:val="tx1"/>
            </w14:solidFill>
          </w14:textFill>
        </w:rPr>
        <w:t>根据投标单位对食品安全保障机制的建立、实施情况（包括但不限于食品安全管理组织架构及职责、全流程食品安全管理制度、食品安全风险管控制度</w:t>
      </w:r>
      <w:r>
        <w:rPr>
          <w:rFonts w:hint="eastAsia" w:ascii="Times New Roman" w:hAnsi="Times New Roman" w:eastAsia="仿宋" w:cs="Times New Roman"/>
          <w:bCs/>
          <w:color w:val="000000" w:themeColor="text1"/>
          <w:sz w:val="28"/>
          <w:szCs w:val="28"/>
          <w14:textFill>
            <w14:solidFill>
              <w14:schemeClr w14:val="tx1"/>
            </w14:solidFill>
          </w14:textFill>
        </w:rPr>
        <w:t>等）</w:t>
      </w:r>
      <w:r>
        <w:rPr>
          <w:rFonts w:hint="eastAsia" w:ascii="Times New Roman" w:hAnsi="Times New Roman" w:eastAsia="仿宋" w:cs="Times New Roman"/>
          <w:color w:val="000000" w:themeColor="text1"/>
          <w:sz w:val="28"/>
          <w:szCs w:val="28"/>
          <w14:textFill>
            <w14:solidFill>
              <w14:schemeClr w14:val="tx1"/>
            </w14:solidFill>
          </w14:textFill>
        </w:rPr>
        <w:t>综合打分。</w:t>
      </w:r>
    </w:p>
    <w:p w14:paraId="7A5E2765">
      <w:pPr>
        <w:snapToGrid w:val="0"/>
        <w:spacing w:line="500" w:lineRule="exact"/>
        <w:ind w:firstLine="554" w:firstLineChars="198"/>
        <w:rPr>
          <w:rFonts w:ascii="Times New Roman" w:hAnsi="Times New Roman" w:eastAsia="仿宋" w:cs="Times New Roman"/>
          <w:color w:val="000000" w:themeColor="text1"/>
          <w:sz w:val="28"/>
          <w:szCs w:val="28"/>
          <w14:textFill>
            <w14:solidFill>
              <w14:schemeClr w14:val="tx1"/>
            </w14:solidFill>
          </w14:textFill>
        </w:rPr>
      </w:pPr>
      <w:r>
        <w:rPr>
          <w:rFonts w:hint="eastAsia" w:ascii="Times New Roman" w:hAnsi="Times New Roman" w:eastAsia="仿宋" w:cs="Times New Roman"/>
          <w:color w:val="000000" w:themeColor="text1"/>
          <w:sz w:val="28"/>
          <w:szCs w:val="28"/>
          <w14:textFill>
            <w14:solidFill>
              <w14:schemeClr w14:val="tx1"/>
            </w14:solidFill>
          </w14:textFill>
        </w:rPr>
        <w:t>食品安全保障机制</w:t>
      </w:r>
      <w:r>
        <w:rPr>
          <w:rFonts w:hint="eastAsia" w:ascii="Times New Roman" w:hAnsi="Times New Roman" w:eastAsia="仿宋" w:cs="Times New Roman"/>
          <w:bCs/>
          <w:color w:val="000000" w:themeColor="text1"/>
          <w:sz w:val="28"/>
          <w:szCs w:val="28"/>
          <w14:textFill>
            <w14:solidFill>
              <w14:schemeClr w14:val="tx1"/>
            </w14:solidFill>
          </w14:textFill>
        </w:rPr>
        <w:t>完善详细，措施合理，操作性强的得</w:t>
      </w:r>
      <w:r>
        <w:rPr>
          <w:rFonts w:ascii="Times New Roman" w:hAnsi="Times New Roman" w:eastAsia="仿宋" w:cs="Times New Roman"/>
          <w:bCs/>
          <w:color w:val="000000" w:themeColor="text1"/>
          <w:sz w:val="28"/>
          <w:szCs w:val="28"/>
          <w14:textFill>
            <w14:solidFill>
              <w14:schemeClr w14:val="tx1"/>
            </w14:solidFill>
          </w14:textFill>
        </w:rPr>
        <w:t>12</w:t>
      </w:r>
      <w:r>
        <w:rPr>
          <w:rFonts w:hint="eastAsia" w:ascii="Times New Roman" w:hAnsi="Times New Roman" w:eastAsia="仿宋" w:cs="Times New Roman"/>
          <w:bCs/>
          <w:color w:val="000000" w:themeColor="text1"/>
          <w:sz w:val="28"/>
          <w:szCs w:val="28"/>
          <w14:textFill>
            <w14:solidFill>
              <w14:schemeClr w14:val="tx1"/>
            </w14:solidFill>
          </w14:textFill>
        </w:rPr>
        <w:t>分；食品安全保障机制完善较详细，措施较合理，操作性较强的得</w:t>
      </w:r>
      <w:r>
        <w:rPr>
          <w:rFonts w:hint="eastAsia" w:ascii="Times New Roman" w:hAnsi="Times New Roman" w:eastAsia="仿宋" w:cs="Times New Roman"/>
          <w:bCs/>
          <w:color w:val="000000" w:themeColor="text1"/>
          <w:sz w:val="28"/>
          <w:szCs w:val="28"/>
          <w:lang w:val="en-US" w:eastAsia="zh-CN"/>
          <w14:textFill>
            <w14:solidFill>
              <w14:schemeClr w14:val="tx1"/>
            </w14:solidFill>
          </w14:textFill>
        </w:rPr>
        <w:t>8</w:t>
      </w:r>
      <w:r>
        <w:rPr>
          <w:rFonts w:hint="eastAsia" w:ascii="Times New Roman" w:hAnsi="Times New Roman" w:eastAsia="仿宋" w:cs="Times New Roman"/>
          <w:bCs/>
          <w:color w:val="000000" w:themeColor="text1"/>
          <w:sz w:val="28"/>
          <w:szCs w:val="28"/>
          <w14:textFill>
            <w14:solidFill>
              <w14:schemeClr w14:val="tx1"/>
            </w14:solidFill>
          </w14:textFill>
        </w:rPr>
        <w:t>分；食品安全保障机制简单，措施部分合理，操作性较弱的得</w:t>
      </w:r>
      <w:r>
        <w:rPr>
          <w:rFonts w:hint="eastAsia" w:ascii="Times New Roman" w:hAnsi="Times New Roman" w:eastAsia="仿宋" w:cs="Times New Roman"/>
          <w:bCs/>
          <w:color w:val="000000" w:themeColor="text1"/>
          <w:sz w:val="28"/>
          <w:szCs w:val="28"/>
          <w:lang w:val="en-US" w:eastAsia="zh-CN"/>
          <w14:textFill>
            <w14:solidFill>
              <w14:schemeClr w14:val="tx1"/>
            </w14:solidFill>
          </w14:textFill>
        </w:rPr>
        <w:t>4</w:t>
      </w:r>
      <w:r>
        <w:rPr>
          <w:rFonts w:hint="eastAsia" w:ascii="Times New Roman" w:hAnsi="Times New Roman" w:eastAsia="仿宋" w:cs="Times New Roman"/>
          <w:bCs/>
          <w:color w:val="000000" w:themeColor="text1"/>
          <w:sz w:val="28"/>
          <w:szCs w:val="28"/>
          <w14:textFill>
            <w14:solidFill>
              <w14:schemeClr w14:val="tx1"/>
            </w14:solidFill>
          </w14:textFill>
        </w:rPr>
        <w:t>分；食品安全保障机制内容缺失，措施不明确，操作性差的得</w:t>
      </w:r>
      <w:r>
        <w:rPr>
          <w:rFonts w:hint="eastAsia" w:ascii="Times New Roman" w:hAnsi="Times New Roman" w:eastAsia="仿宋" w:cs="Times New Roman"/>
          <w:bCs/>
          <w:color w:val="000000" w:themeColor="text1"/>
          <w:sz w:val="28"/>
          <w:szCs w:val="28"/>
          <w:lang w:val="en-US" w:eastAsia="zh-CN"/>
          <w14:textFill>
            <w14:solidFill>
              <w14:schemeClr w14:val="tx1"/>
            </w14:solidFill>
          </w14:textFill>
        </w:rPr>
        <w:t>1</w:t>
      </w:r>
      <w:r>
        <w:rPr>
          <w:rFonts w:hint="eastAsia" w:ascii="Times New Roman" w:hAnsi="Times New Roman" w:eastAsia="仿宋" w:cs="Times New Roman"/>
          <w:bCs/>
          <w:color w:val="000000" w:themeColor="text1"/>
          <w:sz w:val="28"/>
          <w:szCs w:val="28"/>
          <w14:textFill>
            <w14:solidFill>
              <w14:schemeClr w14:val="tx1"/>
            </w14:solidFill>
          </w14:textFill>
        </w:rPr>
        <w:t>分；不提供不得分。</w:t>
      </w:r>
    </w:p>
    <w:p w14:paraId="091A4847">
      <w:pPr>
        <w:snapToGrid w:val="0"/>
        <w:spacing w:line="500" w:lineRule="exact"/>
        <w:ind w:firstLine="557" w:firstLineChars="198"/>
        <w:rPr>
          <w:rFonts w:ascii="Times New Roman" w:hAnsi="Times New Roman" w:eastAsia="仿宋" w:cs="Times New Roman"/>
          <w:b/>
          <w:color w:val="000000" w:themeColor="text1"/>
          <w:sz w:val="28"/>
          <w:szCs w:val="28"/>
          <w14:textFill>
            <w14:solidFill>
              <w14:schemeClr w14:val="tx1"/>
            </w14:solidFill>
          </w14:textFill>
        </w:rPr>
      </w:pPr>
      <w:r>
        <w:rPr>
          <w:rFonts w:hint="eastAsia" w:ascii="Times New Roman" w:hAnsi="Times New Roman" w:eastAsia="仿宋" w:cs="Times New Roman"/>
          <w:b/>
          <w:color w:val="000000" w:themeColor="text1"/>
          <w:sz w:val="28"/>
          <w:szCs w:val="28"/>
          <w14:textFill>
            <w14:solidFill>
              <w14:schemeClr w14:val="tx1"/>
            </w14:solidFill>
          </w14:textFill>
        </w:rPr>
        <w:t>注：以上食品安全保障机制需提供操作规范、检测设备场所等相关图片的证明材料。</w:t>
      </w:r>
    </w:p>
    <w:p w14:paraId="50538590">
      <w:pPr>
        <w:snapToGrid w:val="0"/>
        <w:spacing w:line="500" w:lineRule="exact"/>
        <w:ind w:firstLine="560" w:firstLineChars="200"/>
        <w:rPr>
          <w:rFonts w:ascii="Times New Roman" w:hAnsi="Times New Roman" w:eastAsia="仿宋" w:cs="Times New Roman"/>
          <w:color w:val="000000" w:themeColor="text1"/>
          <w:kern w:val="0"/>
          <w:sz w:val="28"/>
          <w:szCs w:val="28"/>
          <w14:textFill>
            <w14:solidFill>
              <w14:schemeClr w14:val="tx1"/>
            </w14:solidFill>
          </w14:textFill>
        </w:rPr>
      </w:pPr>
      <w:r>
        <w:rPr>
          <w:rFonts w:ascii="Times New Roman" w:hAnsi="Times New Roman" w:eastAsia="仿宋" w:cs="Times New Roman"/>
          <w:color w:val="000000" w:themeColor="text1"/>
          <w:kern w:val="0"/>
          <w:sz w:val="28"/>
          <w:szCs w:val="28"/>
          <w14:textFill>
            <w14:solidFill>
              <w14:schemeClr w14:val="tx1"/>
            </w14:solidFill>
          </w14:textFill>
        </w:rPr>
        <w:t>（七）服务团队配备（3分）</w:t>
      </w:r>
    </w:p>
    <w:p w14:paraId="2F37C0E0">
      <w:pPr>
        <w:snapToGrid w:val="0"/>
        <w:spacing w:line="500" w:lineRule="exact"/>
        <w:ind w:firstLine="560" w:firstLineChars="200"/>
        <w:rPr>
          <w:rFonts w:ascii="Times New Roman" w:hAnsi="Times New Roman" w:eastAsia="仿宋" w:cs="Times New Roman"/>
          <w:color w:val="000000" w:themeColor="text1"/>
          <w:kern w:val="0"/>
          <w:sz w:val="28"/>
          <w:szCs w:val="28"/>
          <w14:textFill>
            <w14:solidFill>
              <w14:schemeClr w14:val="tx1"/>
            </w14:solidFill>
          </w14:textFill>
        </w:rPr>
      </w:pPr>
      <w:r>
        <w:rPr>
          <w:rFonts w:ascii="Times New Roman" w:hAnsi="Times New Roman" w:eastAsia="仿宋" w:cs="Times New Roman"/>
          <w:color w:val="000000" w:themeColor="text1"/>
          <w:kern w:val="0"/>
          <w:sz w:val="28"/>
          <w:szCs w:val="28"/>
          <w14:textFill>
            <w14:solidFill>
              <w14:schemeClr w14:val="tx1"/>
            </w14:solidFill>
          </w14:textFill>
        </w:rPr>
        <w:t>1.根据投标单位为所投标段配备的项目负责人情况进行评分（2分）。项目负责人具有本科及以上学历的，得1分；具有3年及以上类似项目经历的，得1分。</w:t>
      </w:r>
    </w:p>
    <w:p w14:paraId="08EF29DE">
      <w:pPr>
        <w:snapToGrid w:val="0"/>
        <w:spacing w:line="500" w:lineRule="exact"/>
        <w:ind w:firstLine="560" w:firstLineChars="200"/>
        <w:rPr>
          <w:rFonts w:ascii="Times New Roman" w:hAnsi="Times New Roman" w:eastAsia="仿宋" w:cs="Times New Roman"/>
          <w:color w:val="000000" w:themeColor="text1"/>
          <w:kern w:val="0"/>
          <w:sz w:val="28"/>
          <w:szCs w:val="28"/>
          <w14:textFill>
            <w14:solidFill>
              <w14:schemeClr w14:val="tx1"/>
            </w14:solidFill>
          </w14:textFill>
        </w:rPr>
      </w:pPr>
      <w:r>
        <w:rPr>
          <w:rFonts w:ascii="Times New Roman" w:hAnsi="Times New Roman" w:eastAsia="仿宋" w:cs="Times New Roman"/>
          <w:color w:val="000000" w:themeColor="text1"/>
          <w:kern w:val="0"/>
          <w:sz w:val="28"/>
          <w:szCs w:val="28"/>
          <w14:textFill>
            <w14:solidFill>
              <w14:schemeClr w14:val="tx1"/>
            </w14:solidFill>
          </w14:textFill>
        </w:rPr>
        <w:t>2.除项目负责人外，为项目配备2名骨干团队人员的，得1分，须提供人员名单和基本信息，否则不得分。</w:t>
      </w:r>
    </w:p>
    <w:p w14:paraId="5A25F0FB">
      <w:pPr>
        <w:snapToGrid w:val="0"/>
        <w:spacing w:line="500" w:lineRule="exact"/>
        <w:ind w:firstLine="562" w:firstLineChars="200"/>
        <w:rPr>
          <w:rFonts w:ascii="Times New Roman" w:hAnsi="Times New Roman" w:eastAsia="仿宋" w:cs="Times New Roman"/>
          <w:b/>
          <w:bCs/>
          <w:color w:val="000000" w:themeColor="text1"/>
          <w:kern w:val="0"/>
          <w:sz w:val="28"/>
          <w:szCs w:val="28"/>
          <w14:textFill>
            <w14:solidFill>
              <w14:schemeClr w14:val="tx1"/>
            </w14:solidFill>
          </w14:textFill>
        </w:rPr>
      </w:pPr>
      <w:r>
        <w:rPr>
          <w:rFonts w:ascii="Times New Roman" w:hAnsi="Times New Roman" w:eastAsia="仿宋" w:cs="Times New Roman"/>
          <w:b/>
          <w:bCs/>
          <w:color w:val="000000" w:themeColor="text1"/>
          <w:kern w:val="0"/>
          <w:sz w:val="28"/>
          <w:szCs w:val="28"/>
          <w14:textFill>
            <w14:solidFill>
              <w14:schemeClr w14:val="tx1"/>
            </w14:solidFill>
          </w14:textFill>
        </w:rPr>
        <w:t>注：以上须提供学历证书、劳动合同等相关证明材料及投标单位近3个月为其缴纳的社保证明复印件，否则不得分。</w:t>
      </w:r>
    </w:p>
    <w:p w14:paraId="7C9AA406">
      <w:pPr>
        <w:snapToGrid w:val="0"/>
        <w:spacing w:line="500" w:lineRule="exact"/>
        <w:ind w:firstLine="554" w:firstLineChars="198"/>
        <w:rPr>
          <w:rFonts w:ascii="Times New Roman" w:hAnsi="Times New Roman" w:eastAsia="仿宋" w:cs="Times New Roman"/>
          <w:b/>
          <w:color w:val="000000" w:themeColor="text1"/>
          <w:sz w:val="28"/>
          <w:szCs w:val="28"/>
          <w14:textFill>
            <w14:solidFill>
              <w14:schemeClr w14:val="tx1"/>
            </w14:solidFill>
          </w14:textFill>
        </w:rPr>
      </w:pPr>
      <w:r>
        <w:rPr>
          <w:rFonts w:ascii="Times New Roman" w:hAnsi="Times New Roman" w:eastAsia="仿宋" w:cs="Times New Roman"/>
          <w:color w:val="000000" w:themeColor="text1"/>
          <w:kern w:val="0"/>
          <w:sz w:val="28"/>
          <w:szCs w:val="28"/>
          <w14:textFill>
            <w14:solidFill>
              <w14:schemeClr w14:val="tx1"/>
            </w14:solidFill>
          </w14:textFill>
        </w:rPr>
        <w:t>（八）</w:t>
      </w:r>
      <w:r>
        <w:rPr>
          <w:rFonts w:hint="eastAsia" w:ascii="Times New Roman" w:hAnsi="Times New Roman" w:eastAsia="仿宋" w:cs="Times New Roman"/>
          <w:color w:val="000000" w:themeColor="text1"/>
          <w:sz w:val="28"/>
          <w:szCs w:val="28"/>
          <w14:textFill>
            <w14:solidFill>
              <w14:schemeClr w14:val="tx1"/>
            </w14:solidFill>
          </w14:textFill>
        </w:rPr>
        <w:t>应急处理实施方案（</w:t>
      </w:r>
      <w:r>
        <w:rPr>
          <w:rFonts w:ascii="Times New Roman" w:hAnsi="Times New Roman" w:eastAsia="仿宋" w:cs="Times New Roman"/>
          <w:color w:val="000000" w:themeColor="text1"/>
          <w:sz w:val="28"/>
          <w:szCs w:val="28"/>
          <w14:textFill>
            <w14:solidFill>
              <w14:schemeClr w14:val="tx1"/>
            </w14:solidFill>
          </w14:textFill>
        </w:rPr>
        <w:t>10</w:t>
      </w:r>
      <w:r>
        <w:rPr>
          <w:rFonts w:hint="eastAsia" w:ascii="Times New Roman" w:hAnsi="Times New Roman" w:eastAsia="仿宋" w:cs="Times New Roman"/>
          <w:color w:val="000000" w:themeColor="text1"/>
          <w:sz w:val="28"/>
          <w:szCs w:val="28"/>
          <w14:textFill>
            <w14:solidFill>
              <w14:schemeClr w14:val="tx1"/>
            </w14:solidFill>
          </w14:textFill>
        </w:rPr>
        <w:t>分）</w:t>
      </w:r>
    </w:p>
    <w:p w14:paraId="53936806">
      <w:pPr>
        <w:snapToGrid w:val="0"/>
        <w:spacing w:line="500" w:lineRule="exact"/>
        <w:ind w:firstLine="554" w:firstLineChars="198"/>
        <w:rPr>
          <w:rFonts w:ascii="Times New Roman" w:hAnsi="Times New Roman" w:eastAsia="仿宋" w:cs="Times New Roman"/>
          <w:color w:val="000000" w:themeColor="text1"/>
          <w:sz w:val="28"/>
          <w:szCs w:val="28"/>
          <w14:textFill>
            <w14:solidFill>
              <w14:schemeClr w14:val="tx1"/>
            </w14:solidFill>
          </w14:textFill>
        </w:rPr>
      </w:pPr>
      <w:r>
        <w:rPr>
          <w:rFonts w:hint="eastAsia" w:ascii="Times New Roman" w:hAnsi="Times New Roman" w:eastAsia="仿宋" w:cs="Times New Roman"/>
          <w:color w:val="000000" w:themeColor="text1"/>
          <w:sz w:val="28"/>
          <w:szCs w:val="28"/>
          <w14:textFill>
            <w14:solidFill>
              <w14:schemeClr w14:val="tx1"/>
            </w14:solidFill>
          </w14:textFill>
        </w:rPr>
        <w:t>投标单位须列明各种可能发生的突发事件以及相应的处理办法，其中必须包括</w:t>
      </w:r>
      <w:r>
        <w:rPr>
          <w:rFonts w:ascii="Times New Roman" w:hAnsi="Times New Roman" w:eastAsia="仿宋" w:cs="Times New Roman"/>
          <w:color w:val="000000" w:themeColor="text1"/>
          <w:sz w:val="28"/>
          <w:szCs w:val="28"/>
          <w14:textFill>
            <w14:solidFill>
              <w14:schemeClr w14:val="tx1"/>
            </w14:solidFill>
          </w14:textFill>
        </w:rPr>
        <w:t>1</w:t>
      </w:r>
      <w:r>
        <w:rPr>
          <w:rFonts w:hint="eastAsia" w:ascii="Times New Roman" w:hAnsi="Times New Roman" w:eastAsia="仿宋" w:cs="Times New Roman"/>
          <w:color w:val="000000" w:themeColor="text1"/>
          <w:sz w:val="28"/>
          <w:szCs w:val="28"/>
          <w14:textFill>
            <w14:solidFill>
              <w14:schemeClr w14:val="tx1"/>
            </w14:solidFill>
          </w14:textFill>
        </w:rPr>
        <w:t>.</w:t>
      </w:r>
      <w:r>
        <w:rPr>
          <w:rFonts w:ascii="Times New Roman" w:hAnsi="Times New Roman" w:eastAsia="仿宋" w:cs="Times New Roman"/>
          <w:color w:val="000000" w:themeColor="text1"/>
          <w:sz w:val="28"/>
          <w:szCs w:val="28"/>
          <w14:textFill>
            <w14:solidFill>
              <w14:schemeClr w14:val="tx1"/>
            </w14:solidFill>
          </w14:textFill>
        </w:rPr>
        <w:t>承诺在市场价格骤涨情况下，</w:t>
      </w:r>
      <w:r>
        <w:rPr>
          <w:rFonts w:hint="eastAsia" w:ascii="Times New Roman" w:hAnsi="Times New Roman" w:eastAsia="仿宋" w:cs="Times New Roman"/>
          <w:color w:val="000000" w:themeColor="text1"/>
          <w:sz w:val="28"/>
          <w:szCs w:val="28"/>
          <w14:textFill>
            <w14:solidFill>
              <w14:schemeClr w14:val="tx1"/>
            </w14:solidFill>
          </w14:textFill>
        </w:rPr>
        <w:t>先按时供货再与采购人协商，在价格未调整情况下确保供应；</w:t>
      </w:r>
      <w:r>
        <w:rPr>
          <w:rFonts w:ascii="Times New Roman" w:hAnsi="Times New Roman" w:eastAsia="仿宋" w:cs="Times New Roman"/>
          <w:color w:val="000000" w:themeColor="text1"/>
          <w:sz w:val="28"/>
          <w:szCs w:val="28"/>
          <w14:textFill>
            <w14:solidFill>
              <w14:schemeClr w14:val="tx1"/>
            </w14:solidFill>
          </w14:textFill>
        </w:rPr>
        <w:t>2</w:t>
      </w:r>
      <w:r>
        <w:rPr>
          <w:rFonts w:hint="eastAsia" w:ascii="Times New Roman" w:hAnsi="Times New Roman" w:eastAsia="仿宋" w:cs="Times New Roman"/>
          <w:color w:val="000000" w:themeColor="text1"/>
          <w:sz w:val="28"/>
          <w:szCs w:val="28"/>
          <w14:textFill>
            <w14:solidFill>
              <w14:schemeClr w14:val="tx1"/>
            </w14:solidFill>
          </w14:textFill>
        </w:rPr>
        <w:t>.</w:t>
      </w:r>
      <w:r>
        <w:rPr>
          <w:rFonts w:ascii="Times New Roman" w:hAnsi="Times New Roman" w:eastAsia="仿宋" w:cs="Times New Roman"/>
          <w:color w:val="000000" w:themeColor="text1"/>
          <w:sz w:val="28"/>
          <w:szCs w:val="28"/>
          <w14:textFill>
            <w14:solidFill>
              <w14:schemeClr w14:val="tx1"/>
            </w14:solidFill>
          </w14:textFill>
        </w:rPr>
        <w:t>遭遇恶劣天气情况下（</w:t>
      </w:r>
      <w:r>
        <w:rPr>
          <w:rFonts w:hint="eastAsia" w:ascii="Times New Roman" w:hAnsi="Times New Roman" w:eastAsia="仿宋" w:cs="Times New Roman"/>
          <w:color w:val="000000" w:themeColor="text1"/>
          <w:sz w:val="28"/>
          <w:szCs w:val="28"/>
          <w14:textFill>
            <w14:solidFill>
              <w14:schemeClr w14:val="tx1"/>
            </w14:solidFill>
          </w14:textFill>
        </w:rPr>
        <w:t>台风、暴雨、冰灾、雪灾等</w:t>
      </w:r>
      <w:r>
        <w:rPr>
          <w:rFonts w:ascii="Times New Roman" w:hAnsi="Times New Roman" w:eastAsia="仿宋" w:cs="Times New Roman"/>
          <w:color w:val="000000" w:themeColor="text1"/>
          <w:sz w:val="28"/>
          <w:szCs w:val="28"/>
          <w14:textFill>
            <w14:solidFill>
              <w14:schemeClr w14:val="tx1"/>
            </w14:solidFill>
          </w14:textFill>
        </w:rPr>
        <w:t>）能保证及时供货，</w:t>
      </w:r>
      <w:r>
        <w:rPr>
          <w:rFonts w:hint="eastAsia" w:ascii="Times New Roman" w:hAnsi="Times New Roman" w:eastAsia="仿宋" w:cs="Times New Roman"/>
          <w:color w:val="000000" w:themeColor="text1"/>
          <w:sz w:val="28"/>
          <w:szCs w:val="28"/>
          <w14:textFill>
            <w14:solidFill>
              <w14:schemeClr w14:val="tx1"/>
            </w14:solidFill>
          </w14:textFill>
        </w:rPr>
        <w:t>在本地储备一定数量的应急食堂食材物资，并具备配送能力，保障食堂为校内师生正常提供服务（明确品种、数量、存地点、管理办法、启用方式等）</w:t>
      </w:r>
      <w:r>
        <w:rPr>
          <w:rFonts w:ascii="Times New Roman" w:hAnsi="Times New Roman" w:eastAsia="仿宋" w:cs="Times New Roman"/>
          <w:color w:val="000000" w:themeColor="text1"/>
          <w:sz w:val="28"/>
          <w:szCs w:val="28"/>
          <w14:textFill>
            <w14:solidFill>
              <w14:schemeClr w14:val="tx1"/>
            </w14:solidFill>
          </w14:textFill>
        </w:rPr>
        <w:t>；3</w:t>
      </w:r>
      <w:r>
        <w:rPr>
          <w:rFonts w:hint="eastAsia" w:ascii="Times New Roman" w:hAnsi="Times New Roman" w:eastAsia="仿宋" w:cs="Times New Roman"/>
          <w:color w:val="000000" w:themeColor="text1"/>
          <w:sz w:val="28"/>
          <w:szCs w:val="28"/>
          <w14:textFill>
            <w14:solidFill>
              <w14:schemeClr w14:val="tx1"/>
            </w14:solidFill>
          </w14:textFill>
        </w:rPr>
        <w:t>.</w:t>
      </w:r>
      <w:r>
        <w:rPr>
          <w:rFonts w:ascii="Times New Roman" w:hAnsi="Times New Roman" w:eastAsia="仿宋" w:cs="Times New Roman"/>
          <w:color w:val="000000" w:themeColor="text1"/>
          <w:sz w:val="28"/>
          <w:szCs w:val="28"/>
          <w14:textFill>
            <w14:solidFill>
              <w14:schemeClr w14:val="tx1"/>
            </w14:solidFill>
          </w14:textFill>
        </w:rPr>
        <w:t>遭</w:t>
      </w:r>
      <w:r>
        <w:rPr>
          <w:rFonts w:hint="eastAsia" w:ascii="Times New Roman" w:hAnsi="Times New Roman" w:eastAsia="仿宋" w:cs="Times New Roman"/>
          <w:color w:val="000000" w:themeColor="text1"/>
          <w:sz w:val="28"/>
          <w:szCs w:val="28"/>
          <w14:textFill>
            <w14:solidFill>
              <w14:schemeClr w14:val="tx1"/>
            </w14:solidFill>
          </w14:textFill>
        </w:rPr>
        <w:t>遇其他突发状况下的保供措施（如疫情等重大突发情况）；</w:t>
      </w:r>
      <w:r>
        <w:rPr>
          <w:rFonts w:ascii="Times New Roman" w:hAnsi="Times New Roman" w:eastAsia="仿宋" w:cs="Times New Roman"/>
          <w:color w:val="000000" w:themeColor="text1"/>
          <w:sz w:val="28"/>
          <w:szCs w:val="28"/>
          <w14:textFill>
            <w14:solidFill>
              <w14:schemeClr w14:val="tx1"/>
            </w14:solidFill>
          </w14:textFill>
        </w:rPr>
        <w:t>4</w:t>
      </w:r>
      <w:r>
        <w:rPr>
          <w:rFonts w:hint="eastAsia" w:ascii="Times New Roman" w:hAnsi="Times New Roman" w:eastAsia="仿宋" w:cs="Times New Roman"/>
          <w:color w:val="000000" w:themeColor="text1"/>
          <w:sz w:val="28"/>
          <w:szCs w:val="28"/>
          <w14:textFill>
            <w14:solidFill>
              <w14:schemeClr w14:val="tx1"/>
            </w14:solidFill>
          </w14:textFill>
        </w:rPr>
        <w:t>.</w:t>
      </w:r>
      <w:r>
        <w:rPr>
          <w:rFonts w:ascii="Times New Roman" w:hAnsi="Times New Roman" w:eastAsia="仿宋" w:cs="Times New Roman"/>
          <w:color w:val="000000" w:themeColor="text1"/>
          <w:sz w:val="28"/>
          <w:szCs w:val="28"/>
          <w14:textFill>
            <w14:solidFill>
              <w14:schemeClr w14:val="tx1"/>
            </w14:solidFill>
          </w14:textFill>
        </w:rPr>
        <w:t>日常退换货和临时性补货，2小时内</w:t>
      </w:r>
      <w:r>
        <w:rPr>
          <w:rFonts w:hint="eastAsia" w:ascii="Times New Roman" w:hAnsi="Times New Roman" w:eastAsia="仿宋" w:cs="Times New Roman"/>
          <w:color w:val="000000" w:themeColor="text1"/>
          <w:sz w:val="28"/>
          <w:szCs w:val="28"/>
          <w14:textFill>
            <w14:solidFill>
              <w14:schemeClr w14:val="tx1"/>
            </w14:solidFill>
          </w14:textFill>
        </w:rPr>
        <w:t>完成</w:t>
      </w:r>
      <w:r>
        <w:rPr>
          <w:rFonts w:ascii="Times New Roman" w:hAnsi="Times New Roman" w:eastAsia="仿宋" w:cs="Times New Roman"/>
          <w:color w:val="000000" w:themeColor="text1"/>
          <w:sz w:val="28"/>
          <w:szCs w:val="28"/>
          <w14:textFill>
            <w14:solidFill>
              <w14:schemeClr w14:val="tx1"/>
            </w14:solidFill>
          </w14:textFill>
        </w:rPr>
        <w:t>日常退换货和临时性补货</w:t>
      </w:r>
      <w:r>
        <w:rPr>
          <w:rFonts w:hint="eastAsia" w:ascii="Times New Roman" w:hAnsi="Times New Roman" w:eastAsia="仿宋" w:cs="Times New Roman"/>
          <w:color w:val="000000" w:themeColor="text1"/>
          <w:sz w:val="28"/>
          <w:szCs w:val="28"/>
          <w14:textFill>
            <w14:solidFill>
              <w14:schemeClr w14:val="tx1"/>
            </w14:solidFill>
          </w14:textFill>
        </w:rPr>
        <w:t>的</w:t>
      </w:r>
      <w:r>
        <w:rPr>
          <w:rFonts w:ascii="Times New Roman" w:hAnsi="Times New Roman" w:eastAsia="仿宋" w:cs="Times New Roman"/>
          <w:color w:val="000000" w:themeColor="text1"/>
          <w:sz w:val="28"/>
          <w:szCs w:val="28"/>
          <w14:textFill>
            <w14:solidFill>
              <w14:schemeClr w14:val="tx1"/>
            </w14:solidFill>
          </w14:textFill>
        </w:rPr>
        <w:t>承诺</w:t>
      </w:r>
      <w:r>
        <w:rPr>
          <w:rFonts w:hint="eastAsia" w:ascii="Times New Roman" w:hAnsi="Times New Roman" w:eastAsia="仿宋" w:cs="Times New Roman"/>
          <w:color w:val="000000" w:themeColor="text1"/>
          <w:sz w:val="28"/>
          <w:szCs w:val="28"/>
          <w14:textFill>
            <w14:solidFill>
              <w14:schemeClr w14:val="tx1"/>
            </w14:solidFill>
          </w14:textFill>
        </w:rPr>
        <w:t>。</w:t>
      </w:r>
    </w:p>
    <w:p w14:paraId="590A931B">
      <w:pPr>
        <w:snapToGrid w:val="0"/>
        <w:spacing w:line="500" w:lineRule="exact"/>
        <w:ind w:firstLine="554" w:firstLineChars="198"/>
        <w:rPr>
          <w:rFonts w:ascii="Times New Roman" w:hAnsi="Times New Roman" w:eastAsia="仿宋" w:cs="Times New Roman"/>
          <w:color w:val="000000" w:themeColor="text1"/>
          <w:sz w:val="28"/>
          <w:szCs w:val="28"/>
          <w14:textFill>
            <w14:solidFill>
              <w14:schemeClr w14:val="tx1"/>
            </w14:solidFill>
          </w14:textFill>
        </w:rPr>
      </w:pPr>
      <w:r>
        <w:rPr>
          <w:rFonts w:hint="eastAsia" w:ascii="Times New Roman" w:hAnsi="Times New Roman" w:eastAsia="仿宋" w:cs="Times New Roman"/>
          <w:color w:val="000000" w:themeColor="text1"/>
          <w:sz w:val="28"/>
          <w:szCs w:val="28"/>
          <w14:textFill>
            <w14:solidFill>
              <w14:schemeClr w14:val="tx1"/>
            </w14:solidFill>
          </w14:textFill>
        </w:rPr>
        <w:t>应急处理实施方案完善、细致，操作性强的得</w:t>
      </w:r>
      <w:r>
        <w:rPr>
          <w:rFonts w:ascii="Times New Roman" w:hAnsi="Times New Roman" w:eastAsia="仿宋" w:cs="Times New Roman"/>
          <w:color w:val="000000" w:themeColor="text1"/>
          <w:sz w:val="28"/>
          <w:szCs w:val="28"/>
          <w14:textFill>
            <w14:solidFill>
              <w14:schemeClr w14:val="tx1"/>
            </w14:solidFill>
          </w14:textFill>
        </w:rPr>
        <w:t>10</w:t>
      </w:r>
      <w:r>
        <w:rPr>
          <w:rFonts w:hint="eastAsia" w:ascii="Times New Roman" w:hAnsi="Times New Roman" w:eastAsia="仿宋" w:cs="Times New Roman"/>
          <w:color w:val="000000" w:themeColor="text1"/>
          <w:sz w:val="28"/>
          <w:szCs w:val="28"/>
          <w14:textFill>
            <w14:solidFill>
              <w14:schemeClr w14:val="tx1"/>
            </w14:solidFill>
          </w14:textFill>
        </w:rPr>
        <w:t>分；应急处理实施方案较完善、细致，操作性较强的得</w:t>
      </w:r>
      <w:r>
        <w:rPr>
          <w:rFonts w:hint="eastAsia" w:ascii="Times New Roman" w:hAnsi="Times New Roman" w:eastAsia="仿宋" w:cs="Times New Roman"/>
          <w:color w:val="000000" w:themeColor="text1"/>
          <w:sz w:val="28"/>
          <w:szCs w:val="28"/>
          <w:lang w:val="en-US" w:eastAsia="zh-CN"/>
          <w14:textFill>
            <w14:solidFill>
              <w14:schemeClr w14:val="tx1"/>
            </w14:solidFill>
          </w14:textFill>
        </w:rPr>
        <w:t>8</w:t>
      </w:r>
      <w:r>
        <w:rPr>
          <w:rFonts w:hint="eastAsia" w:ascii="Times New Roman" w:hAnsi="Times New Roman" w:eastAsia="仿宋" w:cs="Times New Roman"/>
          <w:color w:val="000000" w:themeColor="text1"/>
          <w:sz w:val="28"/>
          <w:szCs w:val="28"/>
          <w14:textFill>
            <w14:solidFill>
              <w14:schemeClr w14:val="tx1"/>
            </w14:solidFill>
          </w14:textFill>
        </w:rPr>
        <w:t>分；应急处理实施方案简单，有一定操作性的得</w:t>
      </w:r>
      <w:r>
        <w:rPr>
          <w:rFonts w:hint="eastAsia" w:ascii="Times New Roman" w:hAnsi="Times New Roman" w:eastAsia="仿宋" w:cs="Times New Roman"/>
          <w:color w:val="000000" w:themeColor="text1"/>
          <w:sz w:val="28"/>
          <w:szCs w:val="28"/>
          <w:lang w:val="en-US" w:eastAsia="zh-CN"/>
          <w14:textFill>
            <w14:solidFill>
              <w14:schemeClr w14:val="tx1"/>
            </w14:solidFill>
          </w14:textFill>
        </w:rPr>
        <w:t>6</w:t>
      </w:r>
      <w:r>
        <w:rPr>
          <w:rFonts w:hint="eastAsia" w:ascii="Times New Roman" w:hAnsi="Times New Roman" w:eastAsia="仿宋" w:cs="Times New Roman"/>
          <w:color w:val="000000" w:themeColor="text1"/>
          <w:sz w:val="28"/>
          <w:szCs w:val="28"/>
          <w14:textFill>
            <w14:solidFill>
              <w14:schemeClr w14:val="tx1"/>
            </w14:solidFill>
          </w14:textFill>
        </w:rPr>
        <w:t>分；应急处理实施方案内容</w:t>
      </w:r>
      <w:r>
        <w:rPr>
          <w:rFonts w:hint="eastAsia" w:ascii="Times New Roman" w:hAnsi="Times New Roman" w:eastAsia="仿宋" w:cs="Times New Roman"/>
          <w:color w:val="000000" w:themeColor="text1"/>
          <w:sz w:val="28"/>
          <w:szCs w:val="28"/>
          <w:lang w:val="en-US" w:eastAsia="zh-CN"/>
          <w14:textFill>
            <w14:solidFill>
              <w14:schemeClr w14:val="tx1"/>
            </w14:solidFill>
          </w14:textFill>
        </w:rPr>
        <w:t>部分缺失</w:t>
      </w:r>
      <w:r>
        <w:rPr>
          <w:rFonts w:hint="eastAsia" w:ascii="Times New Roman" w:hAnsi="Times New Roman" w:eastAsia="仿宋" w:cs="Times New Roman"/>
          <w:color w:val="000000" w:themeColor="text1"/>
          <w:sz w:val="28"/>
          <w:szCs w:val="28"/>
          <w14:textFill>
            <w14:solidFill>
              <w14:schemeClr w14:val="tx1"/>
            </w14:solidFill>
          </w14:textFill>
        </w:rPr>
        <w:t>，操作性</w:t>
      </w:r>
      <w:r>
        <w:rPr>
          <w:rFonts w:hint="eastAsia" w:ascii="Times New Roman" w:hAnsi="Times New Roman" w:eastAsia="仿宋" w:cs="Times New Roman"/>
          <w:color w:val="000000" w:themeColor="text1"/>
          <w:sz w:val="28"/>
          <w:szCs w:val="28"/>
          <w:lang w:val="en-US" w:eastAsia="zh-CN"/>
          <w14:textFill>
            <w14:solidFill>
              <w14:schemeClr w14:val="tx1"/>
            </w14:solidFill>
          </w14:textFill>
        </w:rPr>
        <w:t>较</w:t>
      </w:r>
      <w:r>
        <w:rPr>
          <w:rFonts w:hint="eastAsia" w:ascii="Times New Roman" w:hAnsi="Times New Roman" w:eastAsia="仿宋" w:cs="Times New Roman"/>
          <w:color w:val="000000" w:themeColor="text1"/>
          <w:sz w:val="28"/>
          <w:szCs w:val="28"/>
          <w14:textFill>
            <w14:solidFill>
              <w14:schemeClr w14:val="tx1"/>
            </w14:solidFill>
          </w14:textFill>
        </w:rPr>
        <w:t>差的得</w:t>
      </w:r>
      <w:r>
        <w:rPr>
          <w:rFonts w:hint="eastAsia" w:ascii="Times New Roman" w:hAnsi="Times New Roman" w:eastAsia="仿宋" w:cs="Times New Roman"/>
          <w:color w:val="000000" w:themeColor="text1"/>
          <w:sz w:val="28"/>
          <w:szCs w:val="28"/>
          <w:lang w:val="en-US" w:eastAsia="zh-CN"/>
          <w14:textFill>
            <w14:solidFill>
              <w14:schemeClr w14:val="tx1"/>
            </w14:solidFill>
          </w14:textFill>
        </w:rPr>
        <w:t>4</w:t>
      </w:r>
      <w:r>
        <w:rPr>
          <w:rFonts w:hint="eastAsia" w:ascii="Times New Roman" w:hAnsi="Times New Roman" w:eastAsia="仿宋" w:cs="Times New Roman"/>
          <w:color w:val="000000" w:themeColor="text1"/>
          <w:sz w:val="28"/>
          <w:szCs w:val="28"/>
          <w14:textFill>
            <w14:solidFill>
              <w14:schemeClr w14:val="tx1"/>
            </w14:solidFill>
          </w14:textFill>
        </w:rPr>
        <w:t>分；应急处理实施方案内容</w:t>
      </w:r>
      <w:r>
        <w:rPr>
          <w:rFonts w:hint="eastAsia" w:ascii="Times New Roman" w:hAnsi="Times New Roman" w:eastAsia="仿宋" w:cs="Times New Roman"/>
          <w:color w:val="000000" w:themeColor="text1"/>
          <w:sz w:val="28"/>
          <w:szCs w:val="28"/>
          <w:lang w:val="en-US" w:eastAsia="zh-CN"/>
          <w14:textFill>
            <w14:solidFill>
              <w14:schemeClr w14:val="tx1"/>
            </w14:solidFill>
          </w14:textFill>
        </w:rPr>
        <w:t>严重缺失</w:t>
      </w:r>
      <w:r>
        <w:rPr>
          <w:rFonts w:hint="eastAsia" w:ascii="Times New Roman" w:hAnsi="Times New Roman" w:eastAsia="仿宋" w:cs="Times New Roman"/>
          <w:color w:val="000000" w:themeColor="text1"/>
          <w:sz w:val="28"/>
          <w:szCs w:val="28"/>
          <w14:textFill>
            <w14:solidFill>
              <w14:schemeClr w14:val="tx1"/>
            </w14:solidFill>
          </w14:textFill>
        </w:rPr>
        <w:t>，操作性差的得</w:t>
      </w:r>
      <w:r>
        <w:rPr>
          <w:rFonts w:hint="eastAsia" w:ascii="Times New Roman" w:hAnsi="Times New Roman" w:eastAsia="仿宋" w:cs="Times New Roman"/>
          <w:color w:val="000000" w:themeColor="text1"/>
          <w:sz w:val="28"/>
          <w:szCs w:val="28"/>
          <w:lang w:val="en-US" w:eastAsia="zh-CN"/>
          <w14:textFill>
            <w14:solidFill>
              <w14:schemeClr w14:val="tx1"/>
            </w14:solidFill>
          </w14:textFill>
        </w:rPr>
        <w:t>2</w:t>
      </w:r>
      <w:r>
        <w:rPr>
          <w:rFonts w:hint="eastAsia" w:ascii="Times New Roman" w:hAnsi="Times New Roman" w:eastAsia="仿宋" w:cs="Times New Roman"/>
          <w:color w:val="000000" w:themeColor="text1"/>
          <w:sz w:val="28"/>
          <w:szCs w:val="28"/>
          <w14:textFill>
            <w14:solidFill>
              <w14:schemeClr w14:val="tx1"/>
            </w14:solidFill>
          </w14:textFill>
        </w:rPr>
        <w:t>分；未提供</w:t>
      </w:r>
      <w:r>
        <w:rPr>
          <w:rFonts w:ascii="Times New Roman" w:hAnsi="Times New Roman" w:eastAsia="仿宋" w:cs="Times New Roman"/>
          <w:color w:val="000000" w:themeColor="text1"/>
          <w:sz w:val="28"/>
          <w:szCs w:val="28"/>
          <w14:textFill>
            <w14:solidFill>
              <w14:schemeClr w14:val="tx1"/>
            </w14:solidFill>
          </w14:textFill>
        </w:rPr>
        <w:t>不得分。</w:t>
      </w:r>
    </w:p>
    <w:p w14:paraId="05BA665A">
      <w:pPr>
        <w:snapToGrid w:val="0"/>
        <w:spacing w:line="500" w:lineRule="exact"/>
        <w:ind w:firstLine="554" w:firstLineChars="198"/>
        <w:rPr>
          <w:rFonts w:ascii="Times New Roman" w:hAnsi="Times New Roman" w:eastAsia="仿宋" w:cs="Times New Roman"/>
          <w:color w:val="000000" w:themeColor="text1"/>
          <w:sz w:val="28"/>
          <w:szCs w:val="28"/>
          <w14:textFill>
            <w14:solidFill>
              <w14:schemeClr w14:val="tx1"/>
            </w14:solidFill>
          </w14:textFill>
        </w:rPr>
      </w:pPr>
      <w:r>
        <w:rPr>
          <w:rFonts w:hint="eastAsia" w:ascii="Times New Roman" w:hAnsi="Times New Roman" w:eastAsia="仿宋" w:cs="Times New Roman"/>
          <w:color w:val="000000" w:themeColor="text1"/>
          <w:sz w:val="28"/>
          <w:szCs w:val="28"/>
          <w14:textFill>
            <w14:solidFill>
              <w14:schemeClr w14:val="tx1"/>
            </w14:solidFill>
          </w14:textFill>
        </w:rPr>
        <w:t>（九）个性化及增值服务（3分）</w:t>
      </w:r>
    </w:p>
    <w:p w14:paraId="5AF5419E">
      <w:pPr>
        <w:snapToGrid w:val="0"/>
        <w:spacing w:line="500" w:lineRule="exact"/>
        <w:ind w:firstLine="554" w:firstLineChars="198"/>
        <w:rPr>
          <w:rFonts w:ascii="Times New Roman" w:hAnsi="Times New Roman" w:eastAsia="仿宋" w:cs="Times New Roman"/>
          <w:color w:val="000000" w:themeColor="text1"/>
          <w:sz w:val="28"/>
          <w:szCs w:val="28"/>
          <w14:textFill>
            <w14:solidFill>
              <w14:schemeClr w14:val="tx1"/>
            </w14:solidFill>
          </w14:textFill>
        </w:rPr>
      </w:pPr>
      <w:r>
        <w:rPr>
          <w:rFonts w:hint="eastAsia" w:ascii="Times New Roman" w:hAnsi="Times New Roman" w:eastAsia="仿宋" w:cs="Times New Roman"/>
          <w:color w:val="000000" w:themeColor="text1"/>
          <w:sz w:val="28"/>
          <w:szCs w:val="28"/>
          <w14:textFill>
            <w14:solidFill>
              <w14:schemeClr w14:val="tx1"/>
            </w14:solidFill>
          </w14:textFill>
        </w:rPr>
        <w:t>提供专为学校定制的个性化和增值服务方案，需详细描述个性化和增值服务的特色内容、实施方式、服务承诺和优惠措施等。个性化和增值服务方案的可行性、可操作性强得3</w:t>
      </w:r>
      <w:r>
        <w:rPr>
          <w:rFonts w:ascii="Times New Roman" w:hAnsi="Times New Roman" w:eastAsia="仿宋" w:cs="Times New Roman"/>
          <w:color w:val="000000" w:themeColor="text1"/>
          <w:sz w:val="28"/>
          <w:szCs w:val="28"/>
          <w14:textFill>
            <w14:solidFill>
              <w14:schemeClr w14:val="tx1"/>
            </w14:solidFill>
          </w14:textFill>
        </w:rPr>
        <w:t>分</w:t>
      </w:r>
      <w:r>
        <w:rPr>
          <w:rFonts w:hint="eastAsia" w:ascii="Times New Roman" w:hAnsi="Times New Roman" w:eastAsia="仿宋" w:cs="Times New Roman"/>
          <w:color w:val="000000" w:themeColor="text1"/>
          <w:sz w:val="28"/>
          <w:szCs w:val="28"/>
          <w14:textFill>
            <w14:solidFill>
              <w14:schemeClr w14:val="tx1"/>
            </w14:solidFill>
          </w14:textFill>
        </w:rPr>
        <w:t>；</w:t>
      </w:r>
      <w:r>
        <w:rPr>
          <w:rFonts w:ascii="Times New Roman" w:hAnsi="Times New Roman" w:eastAsia="仿宋" w:cs="Times New Roman"/>
          <w:color w:val="000000" w:themeColor="text1"/>
          <w:sz w:val="28"/>
          <w:szCs w:val="28"/>
          <w14:textFill>
            <w14:solidFill>
              <w14:schemeClr w14:val="tx1"/>
            </w14:solidFill>
          </w14:textFill>
        </w:rPr>
        <w:t>个性化和增值</w:t>
      </w:r>
      <w:r>
        <w:rPr>
          <w:rFonts w:hint="eastAsia" w:ascii="Times New Roman" w:hAnsi="Times New Roman" w:eastAsia="仿宋" w:cs="Times New Roman"/>
          <w:color w:val="000000" w:themeColor="text1"/>
          <w:sz w:val="28"/>
          <w:szCs w:val="28"/>
          <w14:textFill>
            <w14:solidFill>
              <w14:schemeClr w14:val="tx1"/>
            </w14:solidFill>
          </w14:textFill>
        </w:rPr>
        <w:t>服务方案的可行性、可操作性较强得2</w:t>
      </w:r>
      <w:r>
        <w:rPr>
          <w:rFonts w:ascii="Times New Roman" w:hAnsi="Times New Roman" w:eastAsia="仿宋" w:cs="Times New Roman"/>
          <w:color w:val="000000" w:themeColor="text1"/>
          <w:sz w:val="28"/>
          <w:szCs w:val="28"/>
          <w14:textFill>
            <w14:solidFill>
              <w14:schemeClr w14:val="tx1"/>
            </w14:solidFill>
          </w14:textFill>
        </w:rPr>
        <w:t>分</w:t>
      </w:r>
      <w:r>
        <w:rPr>
          <w:rFonts w:hint="eastAsia" w:ascii="Times New Roman" w:hAnsi="Times New Roman" w:eastAsia="仿宋" w:cs="Times New Roman"/>
          <w:color w:val="000000" w:themeColor="text1"/>
          <w:sz w:val="28"/>
          <w:szCs w:val="28"/>
          <w14:textFill>
            <w14:solidFill>
              <w14:schemeClr w14:val="tx1"/>
            </w14:solidFill>
          </w14:textFill>
        </w:rPr>
        <w:t>；</w:t>
      </w:r>
      <w:r>
        <w:rPr>
          <w:rFonts w:ascii="Times New Roman" w:hAnsi="Times New Roman" w:eastAsia="仿宋" w:cs="Times New Roman"/>
          <w:color w:val="000000" w:themeColor="text1"/>
          <w:sz w:val="28"/>
          <w:szCs w:val="28"/>
          <w14:textFill>
            <w14:solidFill>
              <w14:schemeClr w14:val="tx1"/>
            </w14:solidFill>
          </w14:textFill>
        </w:rPr>
        <w:t>个性化</w:t>
      </w:r>
      <w:r>
        <w:rPr>
          <w:rFonts w:hint="eastAsia" w:ascii="Times New Roman" w:hAnsi="Times New Roman" w:eastAsia="仿宋" w:cs="Times New Roman"/>
          <w:color w:val="000000" w:themeColor="text1"/>
          <w:sz w:val="28"/>
          <w:szCs w:val="28"/>
          <w14:textFill>
            <w14:solidFill>
              <w14:schemeClr w14:val="tx1"/>
            </w14:solidFill>
          </w14:textFill>
        </w:rPr>
        <w:t>和增值服务方案的可行性、可操作性一般得1</w:t>
      </w:r>
      <w:r>
        <w:rPr>
          <w:rFonts w:ascii="Times New Roman" w:hAnsi="Times New Roman" w:eastAsia="仿宋" w:cs="Times New Roman"/>
          <w:color w:val="000000" w:themeColor="text1"/>
          <w:sz w:val="28"/>
          <w:szCs w:val="28"/>
          <w14:textFill>
            <w14:solidFill>
              <w14:schemeClr w14:val="tx1"/>
            </w14:solidFill>
          </w14:textFill>
        </w:rPr>
        <w:t>分</w:t>
      </w:r>
      <w:r>
        <w:rPr>
          <w:rFonts w:hint="eastAsia" w:ascii="Times New Roman" w:hAnsi="Times New Roman" w:eastAsia="仿宋" w:cs="Times New Roman"/>
          <w:color w:val="000000" w:themeColor="text1"/>
          <w:sz w:val="28"/>
          <w:szCs w:val="28"/>
          <w14:textFill>
            <w14:solidFill>
              <w14:schemeClr w14:val="tx1"/>
            </w14:solidFill>
          </w14:textFill>
        </w:rPr>
        <w:t>。不提供不得分。</w:t>
      </w:r>
    </w:p>
    <w:bookmarkEnd w:id="2"/>
    <w:bookmarkEnd w:id="4"/>
    <w:p w14:paraId="48FDA947">
      <w:pPr>
        <w:spacing w:line="500" w:lineRule="exact"/>
        <w:ind w:firstLine="560" w:firstLineChars="200"/>
        <w:rPr>
          <w:rFonts w:ascii="仿宋" w:hAnsi="仿宋" w:eastAsia="仿宋" w:cs="仿宋"/>
          <w:color w:val="000000" w:themeColor="text1"/>
          <w:sz w:val="28"/>
          <w:szCs w:val="28"/>
          <w14:textFill>
            <w14:solidFill>
              <w14:schemeClr w14:val="tx1"/>
            </w14:solidFill>
          </w14:textFill>
        </w:rPr>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61EFAE1-3043-4874-A27A-A1D43EACEEC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2" w:fontKey="{6E39ADF5-2008-4F9C-9858-BD8AC1CF5861}"/>
  </w:font>
  <w:font w:name="方正小标宋_GBK">
    <w:panose1 w:val="02000000000000000000"/>
    <w:charset w:val="86"/>
    <w:family w:val="script"/>
    <w:pitch w:val="default"/>
    <w:sig w:usb0="A00002BF" w:usb1="38CF7CFA" w:usb2="00082016" w:usb3="00000000" w:csb0="00040001" w:csb1="00000000"/>
    <w:embedRegular r:id="rId3" w:fontKey="{1859425D-FD0E-4718-8FA0-A0B4A6295412}"/>
  </w:font>
  <w:font w:name="仿宋">
    <w:panose1 w:val="02010609060101010101"/>
    <w:charset w:val="86"/>
    <w:family w:val="modern"/>
    <w:pitch w:val="default"/>
    <w:sig w:usb0="800002BF" w:usb1="38CF7CFA" w:usb2="00000016" w:usb3="00000000" w:csb0="00040001" w:csb1="00000000"/>
    <w:embedRegular r:id="rId4" w:fontKey="{B5B05962-891A-484D-BFE0-FD1BC14C791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382D7C">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2DCFD8">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F7E79A">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D5EEB6">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411467">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F4591F">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317C"/>
    <w:rsid w:val="002F05C1"/>
    <w:rsid w:val="003236AB"/>
    <w:rsid w:val="004061F1"/>
    <w:rsid w:val="007069CA"/>
    <w:rsid w:val="007A03C0"/>
    <w:rsid w:val="00817DE0"/>
    <w:rsid w:val="008473F6"/>
    <w:rsid w:val="009C0512"/>
    <w:rsid w:val="009E5ECE"/>
    <w:rsid w:val="00A11DF9"/>
    <w:rsid w:val="00A13E2C"/>
    <w:rsid w:val="00B53F1C"/>
    <w:rsid w:val="00BC651B"/>
    <w:rsid w:val="00C43D52"/>
    <w:rsid w:val="00C56226"/>
    <w:rsid w:val="00C81C6B"/>
    <w:rsid w:val="00D92102"/>
    <w:rsid w:val="00DB1C0E"/>
    <w:rsid w:val="00DD643D"/>
    <w:rsid w:val="00E206C6"/>
    <w:rsid w:val="00EB2A77"/>
    <w:rsid w:val="00F5317C"/>
    <w:rsid w:val="00F95F45"/>
    <w:rsid w:val="020871E3"/>
    <w:rsid w:val="028A7439"/>
    <w:rsid w:val="06210164"/>
    <w:rsid w:val="0917320F"/>
    <w:rsid w:val="09E7723D"/>
    <w:rsid w:val="0E371047"/>
    <w:rsid w:val="0F085AB0"/>
    <w:rsid w:val="13C31648"/>
    <w:rsid w:val="17CD516B"/>
    <w:rsid w:val="1D215634"/>
    <w:rsid w:val="1D3F70B3"/>
    <w:rsid w:val="1F87542E"/>
    <w:rsid w:val="27B21058"/>
    <w:rsid w:val="27C82780"/>
    <w:rsid w:val="2A892DDA"/>
    <w:rsid w:val="2CE312EA"/>
    <w:rsid w:val="310E2CC0"/>
    <w:rsid w:val="355A3B14"/>
    <w:rsid w:val="38525871"/>
    <w:rsid w:val="3B4259FC"/>
    <w:rsid w:val="426256EA"/>
    <w:rsid w:val="43BC344B"/>
    <w:rsid w:val="45514462"/>
    <w:rsid w:val="462E4894"/>
    <w:rsid w:val="4A7264EE"/>
    <w:rsid w:val="4B72288D"/>
    <w:rsid w:val="4E1D2433"/>
    <w:rsid w:val="51B84C4E"/>
    <w:rsid w:val="51DD7A65"/>
    <w:rsid w:val="52B9221B"/>
    <w:rsid w:val="5D663C6C"/>
    <w:rsid w:val="617314ED"/>
    <w:rsid w:val="66455BFA"/>
    <w:rsid w:val="684352D5"/>
    <w:rsid w:val="6D2246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1"/>
    <w:semiHidden/>
    <w:unhideWhenUsed/>
    <w:qFormat/>
    <w:uiPriority w:val="99"/>
    <w:pPr>
      <w:jc w:val="left"/>
    </w:p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tabs>
        <w:tab w:val="center" w:pos="4153"/>
        <w:tab w:val="right" w:pos="8306"/>
      </w:tabs>
      <w:snapToGrid w:val="0"/>
      <w:jc w:val="center"/>
    </w:pPr>
    <w:rPr>
      <w:sz w:val="18"/>
      <w:szCs w:val="18"/>
    </w:rPr>
  </w:style>
  <w:style w:type="paragraph" w:styleId="5">
    <w:name w:val="annotation subject"/>
    <w:basedOn w:val="2"/>
    <w:next w:val="2"/>
    <w:link w:val="12"/>
    <w:semiHidden/>
    <w:unhideWhenUsed/>
    <w:qFormat/>
    <w:uiPriority w:val="99"/>
    <w:rPr>
      <w:b/>
      <w:bCs/>
    </w:rPr>
  </w:style>
  <w:style w:type="character" w:styleId="8">
    <w:name w:val="annotation reference"/>
    <w:basedOn w:val="7"/>
    <w:semiHidden/>
    <w:unhideWhenUsed/>
    <w:qFormat/>
    <w:uiPriority w:val="99"/>
    <w:rPr>
      <w:sz w:val="21"/>
      <w:szCs w:val="21"/>
    </w:rPr>
  </w:style>
  <w:style w:type="character" w:customStyle="1" w:styleId="9">
    <w:name w:val="页眉 字符"/>
    <w:basedOn w:val="7"/>
    <w:link w:val="4"/>
    <w:qFormat/>
    <w:uiPriority w:val="99"/>
    <w:rPr>
      <w:sz w:val="18"/>
      <w:szCs w:val="18"/>
    </w:rPr>
  </w:style>
  <w:style w:type="character" w:customStyle="1" w:styleId="10">
    <w:name w:val="页脚 字符"/>
    <w:basedOn w:val="7"/>
    <w:link w:val="3"/>
    <w:qFormat/>
    <w:uiPriority w:val="99"/>
    <w:rPr>
      <w:sz w:val="18"/>
      <w:szCs w:val="18"/>
    </w:rPr>
  </w:style>
  <w:style w:type="character" w:customStyle="1" w:styleId="11">
    <w:name w:val="批注文字 字符"/>
    <w:basedOn w:val="7"/>
    <w:link w:val="2"/>
    <w:semiHidden/>
    <w:qFormat/>
    <w:uiPriority w:val="99"/>
    <w:rPr>
      <w:kern w:val="2"/>
      <w:sz w:val="21"/>
      <w:szCs w:val="22"/>
    </w:rPr>
  </w:style>
  <w:style w:type="character" w:customStyle="1" w:styleId="12">
    <w:name w:val="批注主题 字符"/>
    <w:basedOn w:val="11"/>
    <w:link w:val="5"/>
    <w:semiHidden/>
    <w:qFormat/>
    <w:uiPriority w:val="99"/>
    <w:rPr>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1D22F-24E2-4A19-847A-C9CAD4AA4A9C}">
  <ds:schemaRefs/>
</ds:datastoreItem>
</file>

<file path=docProps/app.xml><?xml version="1.0" encoding="utf-8"?>
<Properties xmlns="http://schemas.openxmlformats.org/officeDocument/2006/extended-properties" xmlns:vt="http://schemas.openxmlformats.org/officeDocument/2006/docPropsVTypes">
  <Template>Normal</Template>
  <Pages>20</Pages>
  <Words>10629</Words>
  <Characters>11080</Characters>
  <Lines>79</Lines>
  <Paragraphs>22</Paragraphs>
  <TotalTime>17</TotalTime>
  <ScaleCrop>false</ScaleCrop>
  <LinksUpToDate>false</LinksUpToDate>
  <CharactersWithSpaces>11092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2026-07-20T11:17:00Z</dcterms:created>
  <dc:creator>think</dc:creator>
  <cp:lastModifiedBy>楠</cp:lastModifiedBy>
  <cp:lastPrinted>2026-07-23T02:13:00Z</cp:lastPrinted>
  <dcterms:modified xsi:type="dcterms:W3CDTF">2026-07-24T02:35:59Z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eyJoZGlkIjoiNzhjOTRhYTJlZGFiODI1NmE2NmE2NmQ1ZTRjNDczOTYiLCJ1c2VySWQiOiI5NTA1NTYxNjIifQ==</vt:lpwstr>
  </property>
  <property fmtid="{D5CDD505-2E9C-101B-9397-08002B2CF9AE}" pid="3" name="KSOProductBuildVer">
    <vt:lpwstr>2052-12.1.0.26895</vt:lpwstr>
  </property>
  <property fmtid="{D5CDD505-2E9C-101B-9397-08002B2CF9AE}" pid="4" name="ICV">
    <vt:lpwstr>237427EADFEB483A8D604C82D272652A_12</vt:lpwstr>
  </property>
</Properties>
</file>